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br/>
        <w:t> 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23"/>
          <w:szCs w:val="23"/>
        </w:rPr>
      </w:pPr>
      <w:bookmarkStart w:id="0" w:name="_GoBack"/>
      <w:r>
        <w:rPr>
          <w:rFonts w:ascii="Arial" w:hAnsi="Arial" w:cs="Arial"/>
          <w:b/>
          <w:bCs/>
          <w:noProof/>
          <w:color w:val="1E1D1E"/>
          <w:sz w:val="23"/>
          <w:szCs w:val="23"/>
        </w:rPr>
        <mc:AlternateContent>
          <mc:Choice Requires="wps">
            <w:drawing>
              <wp:inline distT="0" distB="0" distL="0" distR="0">
                <wp:extent cx="752475" cy="923925"/>
                <wp:effectExtent l="0" t="0" r="0" b="0"/>
                <wp:docPr id="1" name="Прямоугольник 1" descr="https://xn----ftbnafdbadzptgh2aj.xn--p1ai/tinybrowser/images/gerb-sery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5247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2CA406" id="Прямоугольник 1" o:spid="_x0000_s1026" alt="https://xn----ftbnafdbadzptgh2aj.xn--p1ai/tinybrowser/images/gerb-seryy.jpg" style="width:59.25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" filled="f" stroked="f">
                <o:lock v:ext="edit" aspectratio="t"/>
                <w10:anchorlock/>
              </v:rect>
            </w:pict>
          </mc:Fallback>
        </mc:AlternateContent>
      </w:r>
      <w:bookmarkEnd w:id="0"/>
      <w:r>
        <w:rPr>
          <w:rStyle w:val="a4"/>
          <w:rFonts w:ascii="Arial" w:hAnsi="Arial" w:cs="Arial"/>
          <w:color w:val="1E1D1E"/>
          <w:sz w:val="23"/>
          <w:szCs w:val="23"/>
        </w:rPr>
        <w:t> 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РОССИЙСКАЯ ФЕДЕРАЦИЯ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ДУМА КИКНУРСКОГО МУНИЦИПАЛЬНОГО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ОКРУГА КИРОВСКОЙ ОБЛАСТИ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первого созыва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РЕШЕНИЕ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23"/>
          <w:szCs w:val="23"/>
        </w:rPr>
      </w:pPr>
      <w:r>
        <w:rPr>
          <w:rStyle w:val="a4"/>
          <w:rFonts w:ascii="Arial" w:hAnsi="Arial" w:cs="Arial"/>
          <w:color w:val="1E1D1E"/>
          <w:sz w:val="23"/>
          <w:szCs w:val="23"/>
        </w:rPr>
        <w:t>25.02.2021</w:t>
      </w:r>
      <w:r>
        <w:rPr>
          <w:rFonts w:ascii="Arial" w:hAnsi="Arial" w:cs="Arial"/>
          <w:color w:val="1E1D1E"/>
          <w:sz w:val="23"/>
          <w:szCs w:val="23"/>
        </w:rPr>
        <w:br/>
      </w:r>
      <w:r>
        <w:rPr>
          <w:rFonts w:ascii="Arial" w:hAnsi="Arial" w:cs="Arial"/>
          <w:color w:val="1E1D1E"/>
          <w:sz w:val="23"/>
          <w:szCs w:val="23"/>
        </w:rPr>
        <w:br/>
      </w:r>
      <w:r>
        <w:rPr>
          <w:rStyle w:val="a4"/>
          <w:rFonts w:ascii="Arial" w:hAnsi="Arial" w:cs="Arial"/>
          <w:color w:val="1E1D1E"/>
          <w:sz w:val="23"/>
          <w:szCs w:val="23"/>
        </w:rPr>
        <w:t>№</w:t>
      </w:r>
      <w:r>
        <w:rPr>
          <w:rFonts w:ascii="Arial" w:hAnsi="Arial" w:cs="Arial"/>
          <w:color w:val="1E1D1E"/>
          <w:sz w:val="23"/>
          <w:szCs w:val="23"/>
        </w:rPr>
        <w:br/>
      </w:r>
      <w:r>
        <w:rPr>
          <w:rStyle w:val="a4"/>
          <w:rFonts w:ascii="Arial" w:hAnsi="Arial" w:cs="Arial"/>
          <w:color w:val="1E1D1E"/>
          <w:sz w:val="23"/>
          <w:szCs w:val="23"/>
        </w:rPr>
        <w:t>9-89</w:t>
      </w:r>
      <w:r>
        <w:rPr>
          <w:rFonts w:ascii="Arial" w:hAnsi="Arial" w:cs="Arial"/>
          <w:color w:val="1E1D1E"/>
          <w:sz w:val="23"/>
          <w:szCs w:val="23"/>
        </w:rPr>
        <w:br/>
      </w:r>
      <w:proofErr w:type="spellStart"/>
      <w:r>
        <w:rPr>
          <w:rStyle w:val="a4"/>
          <w:rFonts w:ascii="Arial" w:hAnsi="Arial" w:cs="Arial"/>
          <w:color w:val="1E1D1E"/>
          <w:sz w:val="23"/>
          <w:szCs w:val="23"/>
        </w:rPr>
        <w:t>пгт</w:t>
      </w:r>
      <w:proofErr w:type="spellEnd"/>
      <w:r>
        <w:rPr>
          <w:rStyle w:val="a4"/>
          <w:rFonts w:ascii="Arial" w:hAnsi="Arial" w:cs="Arial"/>
          <w:color w:val="1E1D1E"/>
          <w:sz w:val="23"/>
          <w:szCs w:val="23"/>
        </w:rPr>
        <w:t xml:space="preserve"> </w:t>
      </w:r>
      <w:proofErr w:type="spellStart"/>
      <w:r>
        <w:rPr>
          <w:rStyle w:val="a4"/>
          <w:rFonts w:ascii="Arial" w:hAnsi="Arial" w:cs="Arial"/>
          <w:color w:val="1E1D1E"/>
          <w:sz w:val="23"/>
          <w:szCs w:val="23"/>
        </w:rPr>
        <w:t>Кикнур</w:t>
      </w:r>
      <w:proofErr w:type="spellEnd"/>
      <w:r>
        <w:rPr>
          <w:rFonts w:ascii="Arial" w:hAnsi="Arial" w:cs="Arial"/>
          <w:color w:val="1E1D1E"/>
          <w:sz w:val="23"/>
          <w:szCs w:val="23"/>
        </w:rPr>
        <w:br/>
      </w:r>
      <w:r>
        <w:rPr>
          <w:rStyle w:val="a4"/>
          <w:rFonts w:ascii="Arial" w:hAnsi="Arial" w:cs="Arial"/>
          <w:color w:val="1E1D1E"/>
          <w:sz w:val="23"/>
          <w:szCs w:val="23"/>
        </w:rPr>
        <w:t>О внесении изменений и дополнений в Решение Думы Кикнурского муниципального округа Кировской области от 16.12.2020 № 6-63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 xml:space="preserve">В соответствии с Бюджетным кодексом Российской Федерации, на основании Устава муниципального образования </w:t>
      </w:r>
      <w:proofErr w:type="spellStart"/>
      <w:r>
        <w:rPr>
          <w:rFonts w:ascii="Arial" w:hAnsi="Arial" w:cs="Arial"/>
          <w:color w:val="1E1D1E"/>
          <w:sz w:val="23"/>
          <w:szCs w:val="23"/>
        </w:rPr>
        <w:t>Кикнурский</w:t>
      </w:r>
      <w:proofErr w:type="spellEnd"/>
      <w:r>
        <w:rPr>
          <w:rFonts w:ascii="Arial" w:hAnsi="Arial" w:cs="Arial"/>
          <w:color w:val="1E1D1E"/>
          <w:sz w:val="23"/>
          <w:szCs w:val="23"/>
        </w:rPr>
        <w:t xml:space="preserve"> муниципальный округ Кировской области, принятого решением Думы Кикнурского муниципального округа Кировской области от 19.10.2020 № 4-38, в соответствии со статьей 32 Положения о бюджетном процессе в муниципальном образовании </w:t>
      </w:r>
      <w:proofErr w:type="spellStart"/>
      <w:r>
        <w:rPr>
          <w:rFonts w:ascii="Arial" w:hAnsi="Arial" w:cs="Arial"/>
          <w:color w:val="1E1D1E"/>
          <w:sz w:val="23"/>
          <w:szCs w:val="23"/>
        </w:rPr>
        <w:t>Кикнурский</w:t>
      </w:r>
      <w:proofErr w:type="spellEnd"/>
      <w:r>
        <w:rPr>
          <w:rFonts w:ascii="Arial" w:hAnsi="Arial" w:cs="Arial"/>
          <w:color w:val="1E1D1E"/>
          <w:sz w:val="23"/>
          <w:szCs w:val="23"/>
        </w:rPr>
        <w:t xml:space="preserve"> муниципальный округ Кировской области, утвержденного решением Думы Кикнурского муниципального округа Кировской области от 07.10.2020 № 2-21, Дума Кикнурского муниципального округа РЕШИЛА: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 Внести следующие изменения и дополнения в решение Думы Кикнурского муниципального округа Кировской области от 16.12.2020 № 6-63 «О бюджете Кикнурского муниципального округа на 2021 год и на плановый период 2022 и 2023 годов» (далее - Решение):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1.1. Раздел 1. Решения изложить в новой редакции: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«1. Утвердить основные характеристики бюджета Кикнурского муниципального округа на 2021 год: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1.1. общий объем доходов бюджета Кикнурского муниципального округа в сумме 145 002,2 тыс. рублей;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1.2. общий объем расходов бюджета Кикнурского муниципального округа в сумме 149 769,0 тыс. рублей;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1.3. дефицит бюджета Кикнурского муниципального округа в сумме 4 766,8 тыс. рублей.».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1.2. Раздел 9. Решения изложить в новой редакции: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«9. Утвердить перечень публичных нормативных обязательств, подлежащих исполнению за счет средств бюджета Кикнурского муниципального округа с указанием бюджетных ассигнований по ним: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lastRenderedPageBreak/>
        <w:t>9.1. на 2021 год в сумме 1 777,0 тыс. рублей согласно приложению 10 к настоящему решению;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9.2. на 2022 год в сумме 1 939,0 тыс. рублей и на 2023 год в сумме 1 939,0 тыс. рублей согласно приложению 17 к настоящему решению.».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1.3. Подраздел 12.1. раздела 12. Решения изложить в новой редакции: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«12.1. на 2021 год в сумме 33 484,4 тыс. рублей.».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1.4. Раздел 13. Решения изложить в новой редакции: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 xml:space="preserve">«13. В соответствии решением Думы Кикнурского муниципального округа Кировской области от 25.11.2020 № 5-53 «Об утверждении Положения о порядке уплаты в бюджет муниципального образования </w:t>
      </w:r>
      <w:proofErr w:type="spellStart"/>
      <w:r>
        <w:rPr>
          <w:rFonts w:ascii="Arial" w:hAnsi="Arial" w:cs="Arial"/>
          <w:color w:val="1E1D1E"/>
          <w:sz w:val="23"/>
          <w:szCs w:val="23"/>
        </w:rPr>
        <w:t>Кикнурский</w:t>
      </w:r>
      <w:proofErr w:type="spellEnd"/>
      <w:r>
        <w:rPr>
          <w:rFonts w:ascii="Arial" w:hAnsi="Arial" w:cs="Arial"/>
          <w:color w:val="1E1D1E"/>
          <w:sz w:val="23"/>
          <w:szCs w:val="23"/>
        </w:rPr>
        <w:t xml:space="preserve"> муниципальный округ Кировской области части прибыли от использования муниципального имущества, находящегося в хозяйственном ведении муниципальных унитарных предприятий муниципального образования </w:t>
      </w:r>
      <w:proofErr w:type="spellStart"/>
      <w:r>
        <w:rPr>
          <w:rFonts w:ascii="Arial" w:hAnsi="Arial" w:cs="Arial"/>
          <w:color w:val="1E1D1E"/>
          <w:sz w:val="23"/>
          <w:szCs w:val="23"/>
        </w:rPr>
        <w:t>Кикнурский</w:t>
      </w:r>
      <w:proofErr w:type="spellEnd"/>
      <w:r>
        <w:rPr>
          <w:rFonts w:ascii="Arial" w:hAnsi="Arial" w:cs="Arial"/>
          <w:color w:val="1E1D1E"/>
          <w:sz w:val="23"/>
          <w:szCs w:val="23"/>
        </w:rPr>
        <w:t xml:space="preserve"> муниципальный округ Кировской области» установить размер части прибыли муниципальных унитарных предприятий, подлежащей перечислению в бюджет Кикнурского муниципального округа, равного 20 процентам.».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1.5. Раздел 22. Решения изложить в новой редакции: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«22. Утвердить верхний предел муниципального долга Кикнурского муниципального округа Кировской области: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22.1 на 1 января 2022 года в сумме 2 080,7 тыс. рублей, в том числе верхний предел долга по муниципальным гарантиям в сумме 0,0 тыс. рублей.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22.2. на 1 января 2023 года в сумме 6 328,7 тыс. рублей, в том числе верхний предел по муниципальным гарантиям в сумме 0,0 тыс. рублей.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22.3. на 1 января 2024 года в сумме 10 285,1 тыс. рублей, в том числе верхний предел по муниципальным гарантиям в сумме 0,0 тыс. рублей.».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2. Приложения №№ 5, 6, 7, 8, 9, 10, 11, 16, 17, 18 к Решению изложить в новой редакции.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3. Настоящее Решение вступает в силу с момента подписания.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Председатель Думы Кикнурского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 xml:space="preserve">муниципального округа </w:t>
      </w:r>
      <w:proofErr w:type="spellStart"/>
      <w:r>
        <w:rPr>
          <w:rFonts w:ascii="Arial" w:hAnsi="Arial" w:cs="Arial"/>
          <w:color w:val="1E1D1E"/>
          <w:sz w:val="23"/>
          <w:szCs w:val="23"/>
        </w:rPr>
        <w:t>В.Н.Сычев</w:t>
      </w:r>
      <w:proofErr w:type="spellEnd"/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>Глава Кикнурского</w:t>
      </w:r>
    </w:p>
    <w:p w:rsidR="002E7AD3" w:rsidRDefault="002E7AD3" w:rsidP="002E7AD3">
      <w:pPr>
        <w:pStyle w:val="a3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3"/>
          <w:szCs w:val="23"/>
        </w:rPr>
      </w:pPr>
      <w:r>
        <w:rPr>
          <w:rFonts w:ascii="Arial" w:hAnsi="Arial" w:cs="Arial"/>
          <w:color w:val="1E1D1E"/>
          <w:sz w:val="23"/>
          <w:szCs w:val="23"/>
        </w:rPr>
        <w:t xml:space="preserve">муниципального округа </w:t>
      </w:r>
      <w:proofErr w:type="spellStart"/>
      <w:r>
        <w:rPr>
          <w:rFonts w:ascii="Arial" w:hAnsi="Arial" w:cs="Arial"/>
          <w:color w:val="1E1D1E"/>
          <w:sz w:val="23"/>
          <w:szCs w:val="23"/>
        </w:rPr>
        <w:t>С.Ю.Галкин</w:t>
      </w:r>
      <w:proofErr w:type="spellEnd"/>
    </w:p>
    <w:p w:rsidR="001831A0" w:rsidRDefault="002E7AD3"/>
    <w:sectPr w:rsidR="00183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D3"/>
    <w:rsid w:val="002E7AD3"/>
    <w:rsid w:val="00301FA7"/>
    <w:rsid w:val="0098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3F337-8501-4876-8605-D535536AD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7A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7A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3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2022-08-26T11:08:00Z</dcterms:created>
  <dcterms:modified xsi:type="dcterms:W3CDTF">2022-08-26T11:09:00Z</dcterms:modified>
</cp:coreProperties>
</file>