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1DF" w:rsidRPr="004B41DF" w:rsidRDefault="004B41DF" w:rsidP="004B41D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noProof/>
          <w:color w:val="1E1D1E"/>
          <w:sz w:val="23"/>
          <w:szCs w:val="23"/>
          <w:lang w:eastAsia="ru-RU"/>
        </w:rPr>
        <mc:AlternateContent>
          <mc:Choice Requires="wps">
            <w:drawing>
              <wp:inline distT="0" distB="0" distL="0" distR="0">
                <wp:extent cx="752475" cy="923925"/>
                <wp:effectExtent l="0" t="0" r="0" b="0"/>
                <wp:docPr id="1" name="Прямоугольник 1" descr="https://xn----ftbnafdbadzptgh2aj.xn--p1ai/tinybrowser/images/gerb-sery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524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D47A98" id="Прямоугольник 1" o:spid="_x0000_s1026" alt="https://xn----ftbnafdbadzptgh2aj.xn--p1ai/tinybrowser/images/gerb-seryy.jpg" style="width:59.2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</w:p>
    <w:p w:rsidR="004B41DF" w:rsidRPr="004B41DF" w:rsidRDefault="004B41DF" w:rsidP="004B41D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РОССИЙСКАЯ ФЕДЕРАЦИЯ</w:t>
      </w:r>
    </w:p>
    <w:p w:rsidR="004B41DF" w:rsidRPr="004B41DF" w:rsidRDefault="004B41DF" w:rsidP="004B41D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ДУМА КИКНУРСКОГО МУНИЦИПАЛЬНОГО</w:t>
      </w:r>
    </w:p>
    <w:p w:rsidR="004B41DF" w:rsidRPr="004B41DF" w:rsidRDefault="004B41DF" w:rsidP="004B41D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ОКРУГА КИРОВСКОЙ ОБЛАСТИ</w:t>
      </w:r>
    </w:p>
    <w:p w:rsidR="004B41DF" w:rsidRPr="004B41DF" w:rsidRDefault="004B41DF" w:rsidP="004B41D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первого созыва</w:t>
      </w:r>
    </w:p>
    <w:p w:rsidR="004B41DF" w:rsidRPr="004B41DF" w:rsidRDefault="004B41DF" w:rsidP="004B41D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                                                 РЕШЕНИЕ    </w:t>
      </w: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                                 </w:t>
      </w:r>
    </w:p>
    <w:tbl>
      <w:tblPr>
        <w:tblW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5"/>
        <w:gridCol w:w="2872"/>
        <w:gridCol w:w="2552"/>
        <w:gridCol w:w="1966"/>
      </w:tblGrid>
      <w:tr w:rsidR="004B41DF" w:rsidRPr="004B41DF" w:rsidTr="004B41DF">
        <w:tc>
          <w:tcPr>
            <w:tcW w:w="1980" w:type="dxa"/>
            <w:shd w:val="clear" w:color="auto" w:fill="FFFFFF"/>
            <w:vAlign w:val="center"/>
            <w:hideMark/>
          </w:tcPr>
          <w:p w:rsidR="004B41DF" w:rsidRPr="004B41DF" w:rsidRDefault="004B41DF" w:rsidP="004B41DF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4B41DF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10.06.2021</w:t>
            </w:r>
          </w:p>
        </w:tc>
        <w:tc>
          <w:tcPr>
            <w:tcW w:w="2925" w:type="dxa"/>
            <w:shd w:val="clear" w:color="auto" w:fill="FFFFFF"/>
            <w:vAlign w:val="center"/>
            <w:hideMark/>
          </w:tcPr>
          <w:p w:rsidR="004B41DF" w:rsidRPr="004B41DF" w:rsidRDefault="004B41DF" w:rsidP="004B41DF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4B41DF">
              <w:rPr>
                <w:rFonts w:ascii="Arial" w:eastAsia="Times New Roman" w:hAnsi="Arial" w:cs="Arial"/>
                <w:color w:val="1E1D1E"/>
                <w:sz w:val="23"/>
                <w:szCs w:val="23"/>
                <w:u w:val="single"/>
                <w:lang w:eastAsia="ru-RU"/>
              </w:rPr>
              <w:t> </w:t>
            </w:r>
          </w:p>
        </w:tc>
        <w:tc>
          <w:tcPr>
            <w:tcW w:w="2595" w:type="dxa"/>
            <w:shd w:val="clear" w:color="auto" w:fill="FFFFFF"/>
            <w:vAlign w:val="center"/>
            <w:hideMark/>
          </w:tcPr>
          <w:p w:rsidR="004B41DF" w:rsidRPr="004B41DF" w:rsidRDefault="004B41DF" w:rsidP="004B41DF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4B41DF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4B41DF" w:rsidRPr="004B41DF" w:rsidRDefault="004B41DF" w:rsidP="004B41DF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4B41DF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11-118</w:t>
            </w:r>
          </w:p>
        </w:tc>
      </w:tr>
      <w:tr w:rsidR="004B41DF" w:rsidRPr="004B41DF" w:rsidTr="004B41DF">
        <w:tc>
          <w:tcPr>
            <w:tcW w:w="9495" w:type="dxa"/>
            <w:gridSpan w:val="4"/>
            <w:shd w:val="clear" w:color="auto" w:fill="FFFFFF"/>
            <w:vAlign w:val="center"/>
            <w:hideMark/>
          </w:tcPr>
          <w:p w:rsidR="004B41DF" w:rsidRPr="004B41DF" w:rsidRDefault="004B41DF" w:rsidP="004B41DF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proofErr w:type="spellStart"/>
            <w:r w:rsidRPr="004B41DF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пгт</w:t>
            </w:r>
            <w:proofErr w:type="spellEnd"/>
            <w:r w:rsidRPr="004B41DF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B41DF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Кикнур</w:t>
            </w:r>
            <w:proofErr w:type="spellEnd"/>
          </w:p>
        </w:tc>
      </w:tr>
    </w:tbl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О внесении изменений и дополнений в Решение Думы Кикнурского муниципального округа Кировской области от 16.12.2020 № 6-63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 xml:space="preserve">            В соответствии с Бюджетным кодексом Российской Федерации, на основании Устава муниципального образования </w:t>
      </w:r>
      <w:proofErr w:type="spellStart"/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Кикнурский</w:t>
      </w:r>
      <w:proofErr w:type="spellEnd"/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 xml:space="preserve"> муниципальный округ Кировской области, принятого решением Думы Кикнурского муниципального округа Кировской области от 19.10.2020 № 4-38, в соответствии со статьей 32 Положения о бюджетном процессе в муниципальном образовании </w:t>
      </w:r>
      <w:proofErr w:type="spellStart"/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Кикнурский</w:t>
      </w:r>
      <w:proofErr w:type="spellEnd"/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 xml:space="preserve"> муниципальный округ Кировской области, утвержденного решением Думы Кикнурского муниципального округа Кировской области от 07.10.2020 № 2-21, Дума Кикнурского муниципального округа РЕШИЛА:</w:t>
      </w:r>
    </w:p>
    <w:p w:rsidR="004B41DF" w:rsidRPr="004B41DF" w:rsidRDefault="004B41DF" w:rsidP="004B41D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Внести следующие изменения и дополнения в решение Думы Кикнурского муниципального округа Кировской области от 16.12.2020 № 6-63 "О бюджете Кикнурского муниципального округа на 2021 год и на плановый период 2022 и 2023 годов" (далее - Решение):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       1.1. Раздел 1. Решения изложить в новой редакции: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       "1. Утвердить основные характеристики бюджета Кикнурского муниципального округа на 2021 год: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1.1. общий объем доходов бюджета Кикнурского муниципального округа в сумме 146 050,7 тыс. рублей;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1.2. общий объем расходов бюджета Кикнурского муниципального округа в сумме 151 536,2 тыс. рублей;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1.3. дефицит бюджета Кикнурского муниципального округа в сумме 5 485,5 тыс. рублей.".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      1.2. Раздел 2. Решения изложить в новой редакции: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       "2. Утвердить основные характеристики бюджета Кикнурского муниципального округа на 2022 год и на 2023 год: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2.1. общий объем доходов бюджета Кикнурского муниципального округа на 2022 год в сумме 135 003,0 тыс. рублей и на 2023 год в сумме 140 021,3 тыс. рублей;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lastRenderedPageBreak/>
        <w:t>2.2. общий объем расходов бюджета Кикнурского муниципального округа на 2022 год в сумме 139 751,0 тыс. рублей и на 2023 год в сумме 144 477,7 тыс. рублей;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2.3. дефицит бюджета Кикнурского муниципального округа на 2022 год в сумме 4 748,0 тыс. рублей и на 2023 год в сумме 4 456,4 тыс. рублей.".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       1.3. Раздел 22. Решения изложить в новой редакции: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       "22. Утвердить верхний предел муниципального долга Кикнурского муниципального округа Кировской области: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22.1 на 1 января 2022 года в сумме 2 799,4 тыс. рублей, в том числе верхний предел долга по муниципальным гарантиям в сумме 0,0 тыс. рублей.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22.2. на 1 января 2023 года в сумме 7 047,4 тыс. рублей, в том числе верхний предел по муниципальным гарантиям в сумме 0,0 тыс. рублей.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22.3. на 1 января 2024 года в сумме 11 003,8 тыс. рублей, в том числе верхний предел по муниципальным гарантиям в сумме 0,0 тыс. рублей.".</w:t>
      </w:r>
    </w:p>
    <w:p w:rsidR="004B41DF" w:rsidRPr="004B41DF" w:rsidRDefault="004B41DF" w:rsidP="004B41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Приложения №№ 2, 5, 6, 7, 8, 9, 11, 12, 13, 14, 15, 16, 18 к Решению изложить в новой редакции.</w:t>
      </w:r>
    </w:p>
    <w:p w:rsidR="004B41DF" w:rsidRPr="004B41DF" w:rsidRDefault="004B41DF" w:rsidP="004B41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Настоящее Решение вступает в силу с момента подписания.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      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Председатель Думы Кикнурского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муниципального округа       </w:t>
      </w:r>
      <w:proofErr w:type="spellStart"/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В.Н.Сычев</w:t>
      </w:r>
      <w:proofErr w:type="spellEnd"/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                                     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 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Глава Кикнурского</w:t>
      </w:r>
    </w:p>
    <w:p w:rsidR="004B41DF" w:rsidRPr="004B41DF" w:rsidRDefault="004B41DF" w:rsidP="004B41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 xml:space="preserve">муниципального округа     </w:t>
      </w:r>
      <w:proofErr w:type="spellStart"/>
      <w:r w:rsidRPr="004B41DF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С.Ю.Галкин</w:t>
      </w:r>
      <w:proofErr w:type="spellEnd"/>
    </w:p>
    <w:p w:rsidR="001831A0" w:rsidRDefault="004B41DF">
      <w:bookmarkStart w:id="0" w:name="_GoBack"/>
      <w:bookmarkEnd w:id="0"/>
    </w:p>
    <w:sectPr w:rsidR="00183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6710"/>
    <w:multiLevelType w:val="multilevel"/>
    <w:tmpl w:val="5882F8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1CE"/>
    <w:multiLevelType w:val="multilevel"/>
    <w:tmpl w:val="B75E0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DF"/>
    <w:rsid w:val="00301FA7"/>
    <w:rsid w:val="004B41DF"/>
    <w:rsid w:val="0098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E2458-3F7A-41C2-99B5-D17F0302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4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1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8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2022-08-26T11:34:00Z</dcterms:created>
  <dcterms:modified xsi:type="dcterms:W3CDTF">2022-08-26T11:35:00Z</dcterms:modified>
</cp:coreProperties>
</file>