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24" w:rsidRPr="0069002F" w:rsidRDefault="00C00224" w:rsidP="00C00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C00224" w:rsidRPr="0069002F" w:rsidRDefault="00C00224" w:rsidP="00C002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Кикнурского муниципального округа Кировской области </w:t>
      </w:r>
      <w:r w:rsidRPr="0069002F">
        <w:rPr>
          <w:rFonts w:ascii="Times New Roman" w:hAnsi="Times New Roman" w:cs="Times New Roman"/>
          <w:sz w:val="28"/>
          <w:szCs w:val="28"/>
        </w:rPr>
        <w:t>о результатах анализа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2F">
        <w:rPr>
          <w:rFonts w:ascii="Times New Roman" w:hAnsi="Times New Roman" w:cs="Times New Roman"/>
          <w:sz w:val="28"/>
          <w:szCs w:val="28"/>
        </w:rPr>
        <w:t>и перспектив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F14A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2F">
        <w:rPr>
          <w:rFonts w:ascii="Times New Roman" w:hAnsi="Times New Roman" w:cs="Times New Roman"/>
          <w:sz w:val="28"/>
          <w:szCs w:val="28"/>
        </w:rPr>
        <w:t>год</w:t>
      </w: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224" w:rsidRPr="0069002F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2F">
        <w:rPr>
          <w:rFonts w:ascii="Times New Roman" w:hAnsi="Times New Roman" w:cs="Times New Roman"/>
          <w:b/>
          <w:sz w:val="28"/>
          <w:szCs w:val="28"/>
        </w:rPr>
        <w:t>I. Анализ состояния и перспектив развития системы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0224" w:rsidRPr="0069002F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2F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F14A1C" w:rsidRPr="00F14A1C" w:rsidRDefault="00F14A1C" w:rsidP="00F14A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A1C">
        <w:rPr>
          <w:rFonts w:ascii="Times New Roman" w:hAnsi="Times New Roman" w:cs="Times New Roman"/>
          <w:sz w:val="28"/>
          <w:szCs w:val="28"/>
        </w:rPr>
        <w:t xml:space="preserve">Муниципальное образование Кикнурский муниципальный округ находится на юго-западе Кировской области, граничит с Нижегородской областью и муниципальными образованиями Кировской области – Санчурским, Яранским, Тужинским. Он занимает площадь 1684 кв. км. Районный центр – поселок городского типа Кикнур, который расположен в </w:t>
      </w:r>
      <w:smartTag w:uri="urn:schemas-microsoft-com:office:smarttags" w:element="metricconverter">
        <w:smartTagPr>
          <w:attr w:name="ProductID" w:val="60 километрах"/>
        </w:smartTagPr>
        <w:r w:rsidRPr="00F14A1C">
          <w:rPr>
            <w:rFonts w:ascii="Times New Roman" w:hAnsi="Times New Roman" w:cs="Times New Roman"/>
            <w:sz w:val="28"/>
            <w:szCs w:val="28"/>
          </w:rPr>
          <w:t>60 километрах</w:t>
        </w:r>
      </w:smartTag>
      <w:r w:rsidRPr="00F14A1C">
        <w:rPr>
          <w:rFonts w:ascii="Times New Roman" w:hAnsi="Times New Roman" w:cs="Times New Roman"/>
          <w:sz w:val="28"/>
          <w:szCs w:val="28"/>
        </w:rPr>
        <w:t xml:space="preserve"> от железнодорожной станции Шахунья Горьковской железной дороги, в </w:t>
      </w:r>
      <w:smartTag w:uri="urn:schemas-microsoft-com:office:smarttags" w:element="metricconverter">
        <w:smartTagPr>
          <w:attr w:name="ProductID" w:val="121 километре"/>
        </w:smartTagPr>
        <w:r w:rsidRPr="00F14A1C">
          <w:rPr>
            <w:rFonts w:ascii="Times New Roman" w:hAnsi="Times New Roman" w:cs="Times New Roman"/>
            <w:sz w:val="28"/>
            <w:szCs w:val="28"/>
          </w:rPr>
          <w:t>121 километре</w:t>
        </w:r>
      </w:smartTag>
      <w:r w:rsidRPr="00F14A1C">
        <w:rPr>
          <w:rFonts w:ascii="Times New Roman" w:hAnsi="Times New Roman" w:cs="Times New Roman"/>
          <w:sz w:val="28"/>
          <w:szCs w:val="28"/>
        </w:rPr>
        <w:t xml:space="preserve"> от пристани на реке Вятка в городе Советске и в </w:t>
      </w:r>
      <w:smartTag w:uri="urn:schemas-microsoft-com:office:smarttags" w:element="metricconverter">
        <w:smartTagPr>
          <w:attr w:name="ProductID" w:val="301 километре"/>
        </w:smartTagPr>
        <w:r w:rsidRPr="00F14A1C">
          <w:rPr>
            <w:rFonts w:ascii="Times New Roman" w:hAnsi="Times New Roman" w:cs="Times New Roman"/>
            <w:sz w:val="28"/>
            <w:szCs w:val="28"/>
          </w:rPr>
          <w:t>301 километре</w:t>
        </w:r>
      </w:smartTag>
      <w:r w:rsidRPr="00F14A1C">
        <w:rPr>
          <w:rFonts w:ascii="Times New Roman" w:hAnsi="Times New Roman" w:cs="Times New Roman"/>
          <w:sz w:val="28"/>
          <w:szCs w:val="28"/>
        </w:rPr>
        <w:t xml:space="preserve"> от областного центра – город Киров. По территории муниципального округа проходит трасса регионального значения Нижний Новгород – Киров. Есть автобусное сообщение с областным центром – г. Киров</w:t>
      </w:r>
    </w:p>
    <w:p w:rsidR="00F14A1C" w:rsidRPr="00F14A1C" w:rsidRDefault="00F14A1C" w:rsidP="00F14A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A1C">
        <w:rPr>
          <w:rFonts w:ascii="Times New Roman" w:hAnsi="Times New Roman" w:cs="Times New Roman"/>
          <w:sz w:val="28"/>
          <w:szCs w:val="28"/>
        </w:rPr>
        <w:t xml:space="preserve">Среднегодовая численность населения в муниципальном округе за 2022 год составила 6643 человека. Среднегодовая численность населения округа в 2022 году сократилась по сравнению с 2021 годом на 256 человек, годом ранее убыль составляла всего 229 человека. </w:t>
      </w:r>
    </w:p>
    <w:p w:rsidR="00F14A1C" w:rsidRPr="00F14A1C" w:rsidRDefault="00F14A1C" w:rsidP="00F14A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A1C">
        <w:rPr>
          <w:rFonts w:ascii="Times New Roman" w:hAnsi="Times New Roman" w:cs="Times New Roman"/>
          <w:sz w:val="28"/>
          <w:szCs w:val="28"/>
        </w:rPr>
        <w:t>Основные сферы деятельности населения: промышленность, оптовая и розничная торговля, сельское хозяйство, транспорт и связь, сфера услуг, государственное управление, образование, здравоохранение, культура.</w:t>
      </w:r>
    </w:p>
    <w:p w:rsidR="00F14A1C" w:rsidRPr="00F14A1C" w:rsidRDefault="00F14A1C" w:rsidP="00F14A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A1C">
        <w:rPr>
          <w:rFonts w:ascii="Times New Roman" w:hAnsi="Times New Roman" w:cs="Times New Roman"/>
          <w:sz w:val="28"/>
          <w:szCs w:val="28"/>
        </w:rPr>
        <w:t>Основными направлениями деятельности населения являются: обработка древесины и производство изделий из дерева, малое предпринимательство, сфера услуг, сельское хозяйство.</w:t>
      </w:r>
    </w:p>
    <w:p w:rsidR="00C00224" w:rsidRPr="0069002F" w:rsidRDefault="00C00224" w:rsidP="00973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 xml:space="preserve">      Среднемесячная номинальная начисленная заработная плата одного работника </w:t>
      </w:r>
      <w:r w:rsidR="006B063D">
        <w:rPr>
          <w:rFonts w:ascii="Times New Roman" w:hAnsi="Times New Roman" w:cs="Times New Roman"/>
          <w:sz w:val="28"/>
          <w:szCs w:val="28"/>
        </w:rPr>
        <w:t>в 202</w:t>
      </w:r>
      <w:r w:rsidR="00F14A1C">
        <w:rPr>
          <w:rFonts w:ascii="Times New Roman" w:hAnsi="Times New Roman" w:cs="Times New Roman"/>
          <w:sz w:val="28"/>
          <w:szCs w:val="28"/>
        </w:rPr>
        <w:t>2</w:t>
      </w:r>
      <w:r w:rsidR="006B063D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 xml:space="preserve">30005,9 рубля </w:t>
      </w:r>
      <w:r w:rsidR="006B063D" w:rsidRPr="0069002F">
        <w:rPr>
          <w:rFonts w:ascii="Times New Roman" w:hAnsi="Times New Roman" w:cs="Times New Roman"/>
          <w:sz w:val="28"/>
          <w:szCs w:val="28"/>
        </w:rPr>
        <w:t>(по крупным и средним предприятиям</w:t>
      </w:r>
      <w:r w:rsidR="006B063D" w:rsidRPr="009A706F">
        <w:rPr>
          <w:rFonts w:ascii="Times New Roman" w:eastAsia="Times New Roman" w:hAnsi="Times New Roman" w:cs="Times New Roman"/>
          <w:sz w:val="28"/>
          <w:szCs w:val="28"/>
        </w:rPr>
        <w:t xml:space="preserve"> и некоммерчески</w:t>
      </w:r>
      <w:r w:rsidR="006B063D">
        <w:rPr>
          <w:rFonts w:ascii="Times New Roman" w:hAnsi="Times New Roman" w:cs="Times New Roman"/>
          <w:sz w:val="28"/>
          <w:szCs w:val="28"/>
        </w:rPr>
        <w:t>м</w:t>
      </w:r>
      <w:r w:rsidR="006B063D" w:rsidRPr="009A706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6B063D">
        <w:rPr>
          <w:rFonts w:ascii="Times New Roman" w:hAnsi="Times New Roman" w:cs="Times New Roman"/>
          <w:sz w:val="28"/>
          <w:szCs w:val="28"/>
        </w:rPr>
        <w:t>ям</w:t>
      </w:r>
      <w:r w:rsidR="006B063D" w:rsidRPr="0069002F">
        <w:rPr>
          <w:rFonts w:ascii="Times New Roman" w:hAnsi="Times New Roman" w:cs="Times New Roman"/>
          <w:sz w:val="28"/>
          <w:szCs w:val="28"/>
        </w:rPr>
        <w:t>)</w:t>
      </w:r>
      <w:r w:rsidR="006B063D" w:rsidRPr="006B0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>что выше уровня 2021 года на 2924,2 руб., рост к соответствующему периоду прошлого года на 10,8 %.</w:t>
      </w:r>
    </w:p>
    <w:p w:rsidR="00C00224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B1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 на 10 тыс. населения</w:t>
      </w:r>
      <w:r w:rsidRPr="0058041A">
        <w:rPr>
          <w:rFonts w:ascii="Times New Roman" w:hAnsi="Times New Roman" w:cs="Times New Roman"/>
          <w:sz w:val="28"/>
          <w:szCs w:val="28"/>
        </w:rPr>
        <w:t xml:space="preserve"> </w:t>
      </w:r>
      <w:r w:rsidRPr="00C077FB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6B063D" w:rsidRPr="006B06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14A1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B063D" w:rsidRPr="006B063D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>Данный показатель снизился по сравнению с 2021 годом на 4,9 единицы на 10 тыс. населения или на 2,3%. Снижение данного показателя в 2022 году произошло за счет регистрации в качестве самозанятых жителей муниципального округа.</w:t>
      </w:r>
    </w:p>
    <w:p w:rsidR="00C00224" w:rsidRPr="00C077FB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7FB">
        <w:rPr>
          <w:rFonts w:ascii="Times New Roman" w:eastAsia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составила 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>34,4 %</w:t>
      </w:r>
      <w:r w:rsidR="006B063D" w:rsidRPr="006B06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>По сравнению с 2021 годом данный показатель увеличился на 1,9 пункта. Вызвано это в первую очередь дополнительной регистрацией новых индивидуальных предпринимателей и дополнительным привлечением рабочей силы в организации округа.</w:t>
      </w: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CB1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024EC3">
        <w:rPr>
          <w:rFonts w:ascii="Times New Roman" w:hAnsi="Times New Roman" w:cs="Times New Roman"/>
          <w:sz w:val="28"/>
          <w:szCs w:val="28"/>
        </w:rPr>
        <w:t>Объем инвестиции в основной капитал (за исключением бюджетных средств) в расчете на 1 жителя</w:t>
      </w:r>
      <w:r w:rsidRPr="00B65C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4A1C" w:rsidRPr="00F14A1C">
        <w:rPr>
          <w:rFonts w:ascii="Times New Roman" w:eastAsia="Times New Roman" w:hAnsi="Times New Roman" w:cs="Times New Roman"/>
          <w:sz w:val="28"/>
          <w:szCs w:val="28"/>
        </w:rPr>
        <w:t>в 2022 году уменьшился по сравнению с 2021 годом и составил 231,82 рубля на человека, что ниже уровня 2021 года на 2153,89 рубля.</w:t>
      </w:r>
    </w:p>
    <w:p w:rsidR="0038255C" w:rsidRDefault="00C00224" w:rsidP="0038255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7FB">
        <w:rPr>
          <w:rFonts w:ascii="Times New Roman" w:eastAsia="Times New Roman" w:hAnsi="Times New Roman" w:cs="Times New Roman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района» составляет </w:t>
      </w:r>
      <w:r w:rsidR="005D3D88" w:rsidRPr="005D3D88">
        <w:rPr>
          <w:rFonts w:ascii="Times New Roman" w:eastAsia="Times New Roman" w:hAnsi="Times New Roman" w:cs="Times New Roman"/>
          <w:sz w:val="28"/>
          <w:szCs w:val="28"/>
        </w:rPr>
        <w:t>54,5 %. Данный показатель сократился на 0,3 % по сравнению с 2021 годом.</w:t>
      </w:r>
      <w:r w:rsidR="005D3D88" w:rsidRPr="005D3D8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D3D88" w:rsidRPr="005D3D88">
        <w:rPr>
          <w:rFonts w:ascii="Times New Roman" w:eastAsia="Times New Roman" w:hAnsi="Times New Roman" w:cs="Times New Roman"/>
          <w:sz w:val="28"/>
          <w:szCs w:val="28"/>
        </w:rPr>
        <w:t>По сравнению с 2021 годом площадь аренды земельных участков в 2022 году, в целом по району, увеличилась на 1335 га или на 27 %.</w:t>
      </w:r>
    </w:p>
    <w:p w:rsidR="00C00224" w:rsidRPr="006A2C20" w:rsidRDefault="00C00224" w:rsidP="003825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B1">
        <w:rPr>
          <w:rFonts w:ascii="Times New Roman" w:hAnsi="Times New Roman" w:cs="Times New Roman"/>
          <w:i/>
          <w:sz w:val="28"/>
          <w:szCs w:val="28"/>
        </w:rPr>
        <w:tab/>
      </w:r>
      <w:r w:rsidRPr="006A2C20">
        <w:rPr>
          <w:rFonts w:ascii="Times New Roman" w:hAnsi="Times New Roman" w:cs="Times New Roman"/>
          <w:sz w:val="28"/>
          <w:szCs w:val="28"/>
        </w:rPr>
        <w:t xml:space="preserve">Доля прибыльных сельскохозяйственных организаций в общем их числе </w:t>
      </w:r>
      <w:r w:rsidRPr="00C077F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D3D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77FB">
        <w:rPr>
          <w:rFonts w:ascii="Times New Roman" w:eastAsia="Times New Roman" w:hAnsi="Times New Roman" w:cs="Times New Roman"/>
          <w:sz w:val="28"/>
          <w:szCs w:val="28"/>
        </w:rPr>
        <w:t xml:space="preserve"> году составляет </w:t>
      </w:r>
      <w:r w:rsidR="005D3D88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C077FB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2C20">
        <w:rPr>
          <w:rFonts w:ascii="Times New Roman" w:hAnsi="Times New Roman" w:cs="Times New Roman"/>
          <w:sz w:val="28"/>
          <w:szCs w:val="28"/>
        </w:rPr>
        <w:t xml:space="preserve"> </w:t>
      </w:r>
      <w:r w:rsidR="005D3D88" w:rsidRPr="005D3D88">
        <w:rPr>
          <w:rFonts w:ascii="Times New Roman" w:eastAsia="Times New Roman" w:hAnsi="Times New Roman" w:cs="Times New Roman"/>
          <w:sz w:val="28"/>
          <w:szCs w:val="28"/>
        </w:rPr>
        <w:t xml:space="preserve">. Общая прибыль составила 3939 тыс. рублей, что выше уровня 2021 года на 1922 тыс. рублей или на </w:t>
      </w:r>
      <w:r w:rsidR="005D3D88">
        <w:rPr>
          <w:rFonts w:ascii="Times New Roman" w:eastAsia="Times New Roman" w:hAnsi="Times New Roman" w:cs="Times New Roman"/>
          <w:sz w:val="28"/>
          <w:szCs w:val="28"/>
        </w:rPr>
        <w:t>59,4</w:t>
      </w:r>
      <w:r w:rsidR="005D3D88" w:rsidRPr="005D3D88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A69E0" w:rsidRDefault="005D3D88" w:rsidP="000A6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88">
        <w:rPr>
          <w:rFonts w:ascii="Times New Roman" w:eastAsia="Times New Roman" w:hAnsi="Times New Roman" w:cs="Times New Roman"/>
          <w:sz w:val="28"/>
          <w:szCs w:val="28"/>
        </w:rPr>
        <w:t>В собственности Кикнурского муниципального округа находится 255,221 км автомобильных дорог общего пользования, из них: 113,348 км с усовершенствованным (асфальтобетонным) покрытием, 34,15 км с щебеночно-гравийным покрытием, 107,723 км грунтовым, 122 водопропускные трубы и 9 мостовых сооружений. Всего на содержание автомобильных дорог местного значения затрачено 47155,4 тыс. рублей, из них 37574,9 тыс. рублей – областной бюджет, 9580,5 тыс. рублей – бюджет муниципального округа</w:t>
      </w:r>
    </w:p>
    <w:p w:rsidR="00C00224" w:rsidRPr="00382F77" w:rsidRDefault="000A69E0" w:rsidP="005D3D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1,8</w:t>
      </w:r>
      <w:r w:rsidR="00C00224">
        <w:rPr>
          <w:rFonts w:ascii="Times New Roman" w:hAnsi="Times New Roman" w:cs="Times New Roman"/>
          <w:sz w:val="28"/>
          <w:szCs w:val="28"/>
        </w:rPr>
        <w:t xml:space="preserve"> %</w:t>
      </w:r>
      <w:r w:rsidR="00C00224" w:rsidRPr="00382F77">
        <w:rPr>
          <w:rFonts w:ascii="Times New Roman" w:eastAsia="Times New Roman" w:hAnsi="Times New Roman" w:cs="Times New Roman"/>
          <w:sz w:val="28"/>
          <w:szCs w:val="28"/>
        </w:rPr>
        <w:t xml:space="preserve"> населения прожива</w:t>
      </w:r>
      <w:r w:rsidR="00C00224">
        <w:rPr>
          <w:rFonts w:ascii="Times New Roman" w:hAnsi="Times New Roman" w:cs="Times New Roman"/>
          <w:sz w:val="28"/>
          <w:szCs w:val="28"/>
        </w:rPr>
        <w:t>ет</w:t>
      </w:r>
      <w:r w:rsidR="00C00224" w:rsidRPr="00382F77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пунктах, не имеющих регулярного автобусного </w:t>
      </w:r>
      <w:r w:rsidR="00C00224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C00224" w:rsidRPr="00382F77">
        <w:rPr>
          <w:rFonts w:ascii="Times New Roman" w:eastAsia="Times New Roman" w:hAnsi="Times New Roman" w:cs="Times New Roman"/>
          <w:sz w:val="28"/>
          <w:szCs w:val="28"/>
        </w:rPr>
        <w:t xml:space="preserve">с административным центром </w:t>
      </w:r>
      <w:r w:rsidR="00C00224">
        <w:rPr>
          <w:rFonts w:ascii="Times New Roman" w:hAnsi="Times New Roman" w:cs="Times New Roman"/>
          <w:sz w:val="28"/>
          <w:szCs w:val="28"/>
        </w:rPr>
        <w:t>района,</w:t>
      </w:r>
      <w:r w:rsidR="00C00224" w:rsidRPr="00382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55C" w:rsidRPr="0038255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8255C" w:rsidRPr="0038255C">
        <w:rPr>
          <w:rFonts w:ascii="Times New Roman" w:eastAsia="Times New Roman" w:hAnsi="Times New Roman" w:cs="Times New Roman"/>
          <w:sz w:val="28"/>
          <w:szCs w:val="28"/>
        </w:rPr>
        <w:t xml:space="preserve"> уровня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8255C" w:rsidRPr="0038255C">
        <w:rPr>
          <w:rFonts w:ascii="Times New Roman" w:eastAsia="Times New Roman" w:hAnsi="Times New Roman" w:cs="Times New Roman"/>
          <w:sz w:val="28"/>
          <w:szCs w:val="28"/>
        </w:rPr>
        <w:t xml:space="preserve"> года на 0,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8255C" w:rsidRPr="0038255C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C00224" w:rsidRPr="0069002F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2F">
        <w:rPr>
          <w:rFonts w:ascii="Times New Roman" w:hAnsi="Times New Roman" w:cs="Times New Roman"/>
          <w:b/>
          <w:sz w:val="28"/>
          <w:szCs w:val="28"/>
        </w:rPr>
        <w:t>2. Анализ состояния и перспектив развития системы образования</w:t>
      </w:r>
    </w:p>
    <w:p w:rsidR="00C00224" w:rsidRPr="0069002F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A9E">
        <w:rPr>
          <w:rFonts w:ascii="Times New Roman" w:hAnsi="Times New Roman" w:cs="Times New Roman"/>
          <w:sz w:val="28"/>
          <w:szCs w:val="28"/>
        </w:rPr>
        <w:t>На начало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2A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0DA4">
        <w:rPr>
          <w:rFonts w:ascii="Times New Roman" w:hAnsi="Times New Roman" w:cs="Times New Roman"/>
          <w:sz w:val="28"/>
          <w:szCs w:val="28"/>
        </w:rPr>
        <w:t>на территории Кикнурского муниципального округа</w:t>
      </w:r>
      <w:r w:rsidRPr="00972A9E">
        <w:rPr>
          <w:rFonts w:ascii="Times New Roman" w:hAnsi="Times New Roman" w:cs="Times New Roman"/>
          <w:sz w:val="28"/>
          <w:szCs w:val="28"/>
        </w:rPr>
        <w:t xml:space="preserve"> функционировало </w:t>
      </w:r>
      <w:r>
        <w:rPr>
          <w:rFonts w:ascii="Times New Roman" w:hAnsi="Times New Roman" w:cs="Times New Roman"/>
          <w:sz w:val="28"/>
          <w:szCs w:val="28"/>
        </w:rPr>
        <w:t xml:space="preserve">3 областных государственных </w:t>
      </w:r>
      <w:r w:rsidRPr="00972A9E">
        <w:rPr>
          <w:rFonts w:ascii="Times New Roman" w:hAnsi="Times New Roman" w:cs="Times New Roman"/>
          <w:sz w:val="28"/>
          <w:szCs w:val="28"/>
        </w:rPr>
        <w:t>общеобразовательных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я, 1 учре</w:t>
      </w:r>
      <w:r w:rsidRPr="00972A9E">
        <w:rPr>
          <w:rFonts w:ascii="Times New Roman" w:hAnsi="Times New Roman" w:cs="Times New Roman"/>
          <w:sz w:val="28"/>
          <w:szCs w:val="28"/>
        </w:rPr>
        <w:t xml:space="preserve">ждение дошкольного и </w:t>
      </w:r>
      <w:r w:rsidR="009D43F9">
        <w:rPr>
          <w:rFonts w:ascii="Times New Roman" w:hAnsi="Times New Roman" w:cs="Times New Roman"/>
          <w:sz w:val="28"/>
          <w:szCs w:val="28"/>
        </w:rPr>
        <w:t>3</w:t>
      </w:r>
      <w:r w:rsidRPr="00972A9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A0DA4">
        <w:rPr>
          <w:rFonts w:ascii="Times New Roman" w:hAnsi="Times New Roman" w:cs="Times New Roman"/>
          <w:sz w:val="28"/>
          <w:szCs w:val="28"/>
        </w:rPr>
        <w:t xml:space="preserve"> (2 – сферы образования, 1 – сферы культуры)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224" w:rsidRPr="0069002F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>Все образовательные учреждения являются самостоятельными юридическими лицами, действуют на основании Уставов, имеют лицензии на право ведения образовательной деятельности на бессрочный период, учреждения, ведущие обучение по общеобразовательным программам</w:t>
      </w:r>
      <w:r w:rsidR="000A6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2F">
        <w:rPr>
          <w:rFonts w:ascii="Times New Roman" w:hAnsi="Times New Roman" w:cs="Times New Roman"/>
          <w:sz w:val="28"/>
          <w:szCs w:val="28"/>
        </w:rPr>
        <w:t xml:space="preserve"> –  свидетельства об аккредитации.</w:t>
      </w:r>
    </w:p>
    <w:p w:rsidR="00C00224" w:rsidRPr="00E81FAE" w:rsidRDefault="00C00224" w:rsidP="00C002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FAE">
        <w:rPr>
          <w:rFonts w:ascii="Times New Roman" w:hAnsi="Times New Roman" w:cs="Times New Roman"/>
          <w:b/>
          <w:i/>
          <w:sz w:val="28"/>
          <w:szCs w:val="28"/>
        </w:rPr>
        <w:t>Дошкольное образование</w:t>
      </w:r>
    </w:p>
    <w:p w:rsidR="00DE1185" w:rsidRPr="00DE1185" w:rsidRDefault="00DE1185" w:rsidP="00DE118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18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Кикнурского муниципального округа в этот период функционировало 1 дошкольное образовательное учреждение. По состоянию на 01.01.2022 года в Кикнурском муниципальном округе числилось 335 детей дошкольного возраста. Услугами дошкольного образования в 2022 году было охвачено 255 детей, что составило 76,1 % от общего количества детей дошкольного возраста. Данный показатель увеличился в сравнении с 2021 годом на 1,1 % Базовым учреждением по организации воспитательно-образовательного процесса детей дошкольного возраста в Кикнурском муниципальном округе является детский сад комбинированного вида «Алёнка». Всего функционирует 16 групп, которые посещает 234 ребенка. В </w:t>
      </w:r>
      <w:r w:rsidRPr="00DE1185">
        <w:rPr>
          <w:rFonts w:ascii="Times New Roman" w:eastAsia="Times New Roman" w:hAnsi="Times New Roman" w:cs="Times New Roman"/>
          <w:sz w:val="28"/>
          <w:szCs w:val="28"/>
        </w:rPr>
        <w:lastRenderedPageBreak/>
        <w:t>2021 году посещал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1185">
        <w:rPr>
          <w:rFonts w:ascii="Times New Roman" w:eastAsia="Times New Roman" w:hAnsi="Times New Roman" w:cs="Times New Roman"/>
          <w:sz w:val="28"/>
          <w:szCs w:val="28"/>
        </w:rPr>
        <w:t xml:space="preserve"> 228 ребят. В режиме кратковременного пребывания детей в дошкольном учреждении, работа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DE1185">
        <w:rPr>
          <w:rFonts w:ascii="Times New Roman" w:eastAsia="Times New Roman" w:hAnsi="Times New Roman" w:cs="Times New Roman"/>
          <w:sz w:val="28"/>
          <w:szCs w:val="28"/>
        </w:rPr>
        <w:t xml:space="preserve"> одна группа, которую посеща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DE1185">
        <w:rPr>
          <w:rFonts w:ascii="Times New Roman" w:eastAsia="Times New Roman" w:hAnsi="Times New Roman" w:cs="Times New Roman"/>
          <w:sz w:val="28"/>
          <w:szCs w:val="28"/>
        </w:rPr>
        <w:t xml:space="preserve"> 5 малышей. Кроме этого, работа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DE1185">
        <w:rPr>
          <w:rFonts w:ascii="Times New Roman" w:eastAsia="Times New Roman" w:hAnsi="Times New Roman" w:cs="Times New Roman"/>
          <w:sz w:val="28"/>
          <w:szCs w:val="28"/>
        </w:rPr>
        <w:t xml:space="preserve"> 3 дошкольны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1185">
        <w:rPr>
          <w:rFonts w:ascii="Times New Roman" w:eastAsia="Times New Roman" w:hAnsi="Times New Roman" w:cs="Times New Roman"/>
          <w:sz w:val="28"/>
          <w:szCs w:val="28"/>
        </w:rPr>
        <w:t xml:space="preserve"> группы при школах, с охватом 21 ребенка. </w:t>
      </w:r>
    </w:p>
    <w:p w:rsidR="00DE1185" w:rsidRPr="00DE1185" w:rsidRDefault="00DE1185" w:rsidP="00DE118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185">
        <w:rPr>
          <w:rFonts w:ascii="Times New Roman" w:eastAsia="Times New Roman" w:hAnsi="Times New Roman" w:cs="Times New Roman"/>
          <w:sz w:val="28"/>
          <w:szCs w:val="28"/>
        </w:rPr>
        <w:t>Детей, нуждающихся в устройстве в дошкольные учреждения и дошкольные группы на территории муниципального округа в возрасте от 3 до 7 лет на 01.01.2023 года нет. На 01.01.2023 года в дошкольных учреждениях име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DE1185">
        <w:rPr>
          <w:rFonts w:ascii="Times New Roman" w:eastAsia="Times New Roman" w:hAnsi="Times New Roman" w:cs="Times New Roman"/>
          <w:sz w:val="28"/>
          <w:szCs w:val="28"/>
        </w:rPr>
        <w:t xml:space="preserve"> 125 свободных мест, 96 из которых в детском саду «Аленка». Таким образом, дети в возрасте 3-7 лет местами в детских садах обеспечены по потребности, име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DE1185">
        <w:rPr>
          <w:rFonts w:ascii="Times New Roman" w:eastAsia="Times New Roman" w:hAnsi="Times New Roman" w:cs="Times New Roman"/>
          <w:sz w:val="28"/>
          <w:szCs w:val="28"/>
        </w:rPr>
        <w:t xml:space="preserve"> свободные места.</w:t>
      </w:r>
    </w:p>
    <w:p w:rsidR="008C68A5" w:rsidRPr="00E81FAE" w:rsidRDefault="00DE1185" w:rsidP="00DE1185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185">
        <w:rPr>
          <w:rFonts w:ascii="Times New Roman" w:hAnsi="Times New Roman" w:cs="Times New Roman"/>
          <w:sz w:val="28"/>
          <w:szCs w:val="28"/>
        </w:rPr>
        <w:t xml:space="preserve">Доля детей в возрасте 1-6 лет, получающих дошкольную образовательную услугу и услугу по их </w:t>
      </w:r>
      <w:r>
        <w:rPr>
          <w:rFonts w:ascii="Times New Roman" w:hAnsi="Times New Roman" w:cs="Times New Roman"/>
          <w:sz w:val="28"/>
          <w:szCs w:val="28"/>
        </w:rPr>
        <w:t>уходу и присмотру</w:t>
      </w:r>
      <w:r w:rsidRPr="00DE1185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185">
        <w:rPr>
          <w:rFonts w:ascii="Times New Roman" w:hAnsi="Times New Roman" w:cs="Times New Roman"/>
          <w:sz w:val="28"/>
          <w:szCs w:val="28"/>
        </w:rPr>
        <w:t xml:space="preserve"> в общей численности детей этого возраста</w:t>
      </w:r>
      <w:r w:rsidRPr="004D6867">
        <w:rPr>
          <w:rFonts w:ascii="Times New Roman" w:hAnsi="Times New Roman" w:cs="Times New Roman"/>
          <w:sz w:val="28"/>
          <w:szCs w:val="28"/>
        </w:rPr>
        <w:t xml:space="preserve"> составляет 78,4 %. В сравнении с 2021 годом данный показатель увеличился на 8,9%. В 2023 году планируется сохранить процент детей, получающих дошкольную образовательную услугу на уровне 78,0 % от общей численности детей этого возраста. К 2025 году долю детей получающих дошкольную образовательную услугу планируется довести до 78,5%</w:t>
      </w:r>
    </w:p>
    <w:p w:rsidR="008C68A5" w:rsidRPr="00DC313C" w:rsidRDefault="00DE1185" w:rsidP="008C68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185">
        <w:rPr>
          <w:rFonts w:ascii="Times New Roman" w:eastAsia="Times New Roman" w:hAnsi="Times New Roman" w:cs="Times New Roman"/>
          <w:sz w:val="28"/>
          <w:szCs w:val="28"/>
        </w:rPr>
        <w:t>Доля детей в возрасте 1-6 лет, состоящих на учете для определения в дошкольные образовательные учреждения, в общей численности детей в возрасте 1-6 лет составила 0,7 % и уменьшилась по сравнению с 2021 годом на 2,1 %.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8A5" w:rsidRPr="00DC313C">
        <w:rPr>
          <w:rFonts w:ascii="Times New Roman" w:eastAsia="Times New Roman" w:hAnsi="Times New Roman" w:cs="Times New Roman"/>
          <w:sz w:val="28"/>
          <w:szCs w:val="28"/>
        </w:rPr>
        <w:t>Данный показатель практически стабилен за последние два года.</w:t>
      </w:r>
      <w:r w:rsidR="00DC313C" w:rsidRPr="00DC313C">
        <w:rPr>
          <w:rFonts w:ascii="Times New Roman" w:hAnsi="Times New Roman" w:cs="Times New Roman"/>
          <w:sz w:val="28"/>
          <w:szCs w:val="28"/>
        </w:rPr>
        <w:t xml:space="preserve"> </w:t>
      </w:r>
      <w:r w:rsidR="00DC313C">
        <w:rPr>
          <w:rFonts w:ascii="Times New Roman" w:hAnsi="Times New Roman" w:cs="Times New Roman"/>
          <w:sz w:val="28"/>
          <w:szCs w:val="28"/>
        </w:rPr>
        <w:t>В</w:t>
      </w:r>
      <w:r w:rsidR="00DC313C" w:rsidRPr="004D6867">
        <w:rPr>
          <w:rFonts w:ascii="Times New Roman" w:hAnsi="Times New Roman" w:cs="Times New Roman"/>
          <w:sz w:val="28"/>
          <w:szCs w:val="28"/>
        </w:rPr>
        <w:t xml:space="preserve"> муниципальном образовании отсутствует очередность для получения мест в дошкольных учреждениях</w:t>
      </w:r>
      <w:r w:rsidR="00DC313C">
        <w:rPr>
          <w:rFonts w:ascii="Times New Roman" w:hAnsi="Times New Roman" w:cs="Times New Roman"/>
          <w:sz w:val="28"/>
          <w:szCs w:val="28"/>
        </w:rPr>
        <w:t>.</w:t>
      </w:r>
    </w:p>
    <w:p w:rsidR="008C68A5" w:rsidRPr="00E81FAE" w:rsidRDefault="00DC313C" w:rsidP="008C68A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D6867">
        <w:rPr>
          <w:rFonts w:ascii="Times New Roman" w:hAnsi="Times New Roman" w:cs="Times New Roman"/>
          <w:sz w:val="28"/>
          <w:szCs w:val="28"/>
        </w:rPr>
        <w:t>С завершением мероприятий по реконструкции детского сада «Аленка», пищеблока в данном дошкольном учреждении, на территории муниципального образования в муниципальных дошкольных образовательных учреждениях нет зданий, которые находились бы в аварийном состоянии или требовали бы капитального ремонта.</w:t>
      </w:r>
    </w:p>
    <w:p w:rsidR="00535944" w:rsidRPr="003D6990" w:rsidRDefault="00535944" w:rsidP="0053594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6990">
        <w:rPr>
          <w:rFonts w:ascii="Times New Roman" w:hAnsi="Times New Roman" w:cs="Times New Roman"/>
          <w:sz w:val="28"/>
          <w:szCs w:val="28"/>
        </w:rPr>
        <w:t xml:space="preserve">В системе дошкольного образования на 1 января 2023 г. работает 28 педагогических работников. Высшее образование имеют 11 педагогов (39%), среднее профессиональное – 17 человек (61 %).  25 %  педагогических работников системы дошкольного образования имеют возраст от 30 до 49 лет, от 50 и более – 64 %, стаж работы более 20 лет имеют 71 % педагогов.  Только 11 % педагогических работников моложе 29 лет. </w:t>
      </w:r>
    </w:p>
    <w:p w:rsidR="00535944" w:rsidRPr="00742510" w:rsidRDefault="00535944" w:rsidP="0053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10">
        <w:rPr>
          <w:rFonts w:ascii="Times New Roman" w:hAnsi="Times New Roman" w:cs="Times New Roman"/>
          <w:sz w:val="28"/>
          <w:szCs w:val="28"/>
        </w:rPr>
        <w:t>В 2021 - 2022 учебном году заболеваемость воспитанников в среднем по району составила 14,</w:t>
      </w:r>
      <w:r w:rsidR="00742510" w:rsidRPr="00742510">
        <w:rPr>
          <w:rFonts w:ascii="Times New Roman" w:hAnsi="Times New Roman" w:cs="Times New Roman"/>
          <w:sz w:val="28"/>
          <w:szCs w:val="28"/>
        </w:rPr>
        <w:t>7</w:t>
      </w:r>
      <w:r w:rsidRPr="00742510">
        <w:rPr>
          <w:rFonts w:ascii="Times New Roman" w:hAnsi="Times New Roman" w:cs="Times New Roman"/>
          <w:sz w:val="28"/>
          <w:szCs w:val="28"/>
        </w:rPr>
        <w:t xml:space="preserve"> дней, пропущенных ребёнком по болезни (в прошлом году – 14,4 дня). районных показателей у меня нет </w:t>
      </w:r>
    </w:p>
    <w:p w:rsidR="00535944" w:rsidRDefault="00535944" w:rsidP="0053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510">
        <w:rPr>
          <w:rFonts w:ascii="Times New Roman" w:hAnsi="Times New Roman" w:cs="Times New Roman"/>
          <w:sz w:val="28"/>
          <w:szCs w:val="28"/>
        </w:rPr>
        <w:t>Посещаемость детьми дошкольного возраста  ОУ в среднем по району составила 7</w:t>
      </w:r>
      <w:r w:rsidR="00742510" w:rsidRPr="00742510">
        <w:rPr>
          <w:rFonts w:ascii="Times New Roman" w:hAnsi="Times New Roman" w:cs="Times New Roman"/>
          <w:sz w:val="28"/>
          <w:szCs w:val="28"/>
        </w:rPr>
        <w:t>8</w:t>
      </w:r>
      <w:r w:rsidRPr="00742510">
        <w:rPr>
          <w:rFonts w:ascii="Times New Roman" w:hAnsi="Times New Roman" w:cs="Times New Roman"/>
          <w:sz w:val="28"/>
          <w:szCs w:val="28"/>
        </w:rPr>
        <w:t xml:space="preserve"> %. районных показателей у меня нет (в прошлом году – 76%). Динамика заболеваемости и посещаемости за 3 года представлена в следующей таблице:</w:t>
      </w:r>
    </w:p>
    <w:tbl>
      <w:tblPr>
        <w:tblStyle w:val="a4"/>
        <w:tblW w:w="8896" w:type="dxa"/>
        <w:tblLook w:val="04A0"/>
      </w:tblPr>
      <w:tblGrid>
        <w:gridCol w:w="4219"/>
        <w:gridCol w:w="1559"/>
        <w:gridCol w:w="1559"/>
        <w:gridCol w:w="1559"/>
      </w:tblGrid>
      <w:tr w:rsidR="00742510" w:rsidRPr="00742510" w:rsidTr="00742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2021-2022</w:t>
            </w:r>
          </w:p>
        </w:tc>
      </w:tr>
      <w:tr w:rsidR="00742510" w:rsidRPr="00742510" w:rsidTr="00742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Заболеваемость по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14,7</w:t>
            </w:r>
          </w:p>
        </w:tc>
      </w:tr>
      <w:tr w:rsidR="00742510" w:rsidRPr="00742510" w:rsidTr="007425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Посещаемость по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76%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10" w:rsidRPr="00742510" w:rsidRDefault="00742510" w:rsidP="00E36079">
            <w:pPr>
              <w:jc w:val="both"/>
              <w:rPr>
                <w:sz w:val="28"/>
                <w:szCs w:val="28"/>
              </w:rPr>
            </w:pPr>
            <w:r w:rsidRPr="00742510">
              <w:rPr>
                <w:sz w:val="28"/>
                <w:szCs w:val="28"/>
              </w:rPr>
              <w:t>78</w:t>
            </w:r>
          </w:p>
        </w:tc>
      </w:tr>
    </w:tbl>
    <w:p w:rsidR="00535944" w:rsidRPr="003D6990" w:rsidRDefault="00535944" w:rsidP="00535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по повышению квалификации педагогов велась через серию консультаций, семинаров-практикумов,  мастер-классов, вебинаров, </w:t>
      </w:r>
      <w:r w:rsidRPr="003D6990">
        <w:rPr>
          <w:rFonts w:ascii="Times New Roman" w:hAnsi="Times New Roman" w:cs="Times New Roman"/>
          <w:sz w:val="28"/>
          <w:szCs w:val="28"/>
        </w:rPr>
        <w:t>участие в  окружных и областных мероприятиях, презентацию опыта своей деятельности.</w:t>
      </w:r>
      <w:r w:rsidRPr="003D6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990">
        <w:rPr>
          <w:rFonts w:ascii="Times New Roman" w:hAnsi="Times New Roman" w:cs="Times New Roman"/>
          <w:sz w:val="28"/>
          <w:szCs w:val="28"/>
        </w:rPr>
        <w:t xml:space="preserve">Воспитатели и воспитанники активно принимают участие  и становятся победителями и призерами  районных, областных и Всероссийских конкурсов, принимают участие во Всероссийских и международных акциях. </w:t>
      </w:r>
      <w:r w:rsidRPr="003D6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990">
        <w:rPr>
          <w:rFonts w:ascii="Times New Roman" w:hAnsi="Times New Roman" w:cs="Times New Roman"/>
          <w:sz w:val="28"/>
          <w:szCs w:val="28"/>
        </w:rPr>
        <w:t>МКДОУ детский сад комбинированного вида «Алёнка» пгт Кикнур является базовой площадкой для проведения районных методических объединений для педагогов, работающих по программам  дошкольного образования (в состав РМО входит 28 педагогов).</w:t>
      </w:r>
    </w:p>
    <w:p w:rsidR="00535944" w:rsidRPr="003D6990" w:rsidRDefault="00535944" w:rsidP="005359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990">
        <w:rPr>
          <w:rFonts w:ascii="Times New Roman" w:eastAsia="Times New Roman" w:hAnsi="Times New Roman" w:cs="Times New Roman"/>
          <w:sz w:val="28"/>
          <w:szCs w:val="28"/>
        </w:rPr>
        <w:t xml:space="preserve">В декабре 2021 МКДОУ детским садом комбинированного вида «Алёнка» пгт Кикнур получена лицензия на получение детьми дополнительного образования, </w:t>
      </w:r>
      <w:r w:rsidRPr="003D6990">
        <w:rPr>
          <w:rFonts w:ascii="Times New Roman" w:hAnsi="Times New Roman" w:cs="Times New Roman"/>
          <w:color w:val="000000" w:themeColor="text1"/>
          <w:sz w:val="28"/>
          <w:szCs w:val="28"/>
        </w:rPr>
        <w:t>которое на сегодняшний день представлено кружковой деятельностью. В 2022-2023 учебном году в штат ДОО введена ставка педагога дополнительного образования, выделены дополнительные средства финансирования, на базе детского сада стали работать кружки (ранее только на базе ДДТ). На 1 января 2023 года в детском саду работало 9 кружков: «Волшебная флейта» - 4 группы, «Весёлые ложкари» - 2 группы, «Школа мяча» - 2 группы», «Логоритмика для дошкольников» - 1 группа. Охват детей дополнительным образованием за последние 3 года увеличился с 13 до 230 детей.</w:t>
      </w:r>
    </w:p>
    <w:p w:rsidR="00535944" w:rsidRPr="003D6990" w:rsidRDefault="00535944" w:rsidP="00535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990">
        <w:rPr>
          <w:rFonts w:ascii="Times New Roman" w:hAnsi="Times New Roman" w:cs="Times New Roman"/>
          <w:sz w:val="28"/>
          <w:szCs w:val="28"/>
        </w:rPr>
        <w:t xml:space="preserve"> В рамках реализации постановления Правительства Российской Федерации налажена электронная система учета детей дошкольного возраста, в</w:t>
      </w:r>
      <w:r w:rsidRPr="003D69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на муниципальном уровне отрегулированы Порядок комплектования и правила приема детей в  дошкольные  образовательные организации, сформирован банк данных по регистрации заявителей для постановки на очередь в детский сад. </w:t>
      </w:r>
    </w:p>
    <w:p w:rsidR="00535944" w:rsidRPr="003D6990" w:rsidRDefault="00535944" w:rsidP="005359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90">
        <w:rPr>
          <w:rFonts w:ascii="Times New Roman" w:hAnsi="Times New Roman" w:cs="Times New Roman"/>
          <w:sz w:val="28"/>
          <w:szCs w:val="28"/>
        </w:rPr>
        <w:t>Поставлено на учет для предоставления места в МКДОУ ДС комбинированного вида «Алёнка» и дошкольные группы КОГОБУ ОШ с . Русские Краи в течение года 57 детей. Путевку получили за отчетный год 61 ребёнок. По итогам комплектования, прошедшего  в апреле 2022 года, все дети обеспечены местом в детском саду.</w:t>
      </w:r>
    </w:p>
    <w:p w:rsidR="008F7700" w:rsidRPr="00FD700A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 xml:space="preserve">Стимулирующим фактором повышения качества дошкольного образования является увеличение заработной платы, рост которой в сфере дошкольного образования демонстрирует хорошие показатели. </w:t>
      </w:r>
      <w:r>
        <w:rPr>
          <w:rFonts w:ascii="Times New Roman" w:hAnsi="Times New Roman" w:cs="Times New Roman"/>
          <w:sz w:val="28"/>
          <w:szCs w:val="28"/>
        </w:rPr>
        <w:t>За отчётный период</w:t>
      </w:r>
      <w:r w:rsidRPr="008E0D7F">
        <w:rPr>
          <w:rFonts w:ascii="Times New Roman" w:hAnsi="Times New Roman" w:cs="Times New Roman"/>
          <w:sz w:val="28"/>
          <w:szCs w:val="28"/>
        </w:rPr>
        <w:t xml:space="preserve"> номинальная начисленная заработная плата составила </w:t>
      </w:r>
      <w:r w:rsidR="000D2B13" w:rsidRPr="000D2B13">
        <w:rPr>
          <w:rFonts w:ascii="Times New Roman" w:eastAsia="Times New Roman" w:hAnsi="Times New Roman" w:cs="Times New Roman"/>
          <w:sz w:val="28"/>
          <w:szCs w:val="28"/>
        </w:rPr>
        <w:t>23398,67 руб.</w:t>
      </w:r>
      <w:r w:rsidR="001B0D4A">
        <w:rPr>
          <w:rFonts w:ascii="Times New Roman" w:eastAsia="Times New Roman" w:hAnsi="Times New Roman" w:cs="Times New Roman"/>
          <w:sz w:val="28"/>
          <w:szCs w:val="28"/>
        </w:rPr>
        <w:t xml:space="preserve"> (педагогических работников – </w:t>
      </w:r>
      <w:r w:rsidR="001A5C64" w:rsidRPr="001A5C64">
        <w:rPr>
          <w:rFonts w:ascii="Times New Roman" w:eastAsia="Times New Roman" w:hAnsi="Times New Roman" w:cs="Times New Roman"/>
          <w:sz w:val="28"/>
          <w:szCs w:val="28"/>
        </w:rPr>
        <w:t>31875,7</w:t>
      </w:r>
      <w:r w:rsidR="001B0D4A">
        <w:rPr>
          <w:rFonts w:ascii="Times New Roman" w:eastAsia="Times New Roman" w:hAnsi="Times New Roman" w:cs="Times New Roman"/>
          <w:sz w:val="28"/>
          <w:szCs w:val="28"/>
        </w:rPr>
        <w:t xml:space="preserve"> руб.)</w:t>
      </w:r>
      <w:r w:rsidR="00FD700A" w:rsidRPr="00FD700A">
        <w:rPr>
          <w:rFonts w:ascii="Times New Roman" w:eastAsia="Times New Roman" w:hAnsi="Times New Roman" w:cs="Times New Roman"/>
          <w:sz w:val="28"/>
          <w:szCs w:val="28"/>
        </w:rPr>
        <w:t xml:space="preserve">, рост среднемесячной </w:t>
      </w:r>
      <w:r w:rsidR="001B0D4A">
        <w:rPr>
          <w:rFonts w:ascii="Times New Roman" w:eastAsia="Times New Roman" w:hAnsi="Times New Roman" w:cs="Times New Roman"/>
          <w:sz w:val="28"/>
          <w:szCs w:val="28"/>
        </w:rPr>
        <w:t xml:space="preserve">номинально начисленной </w:t>
      </w:r>
      <w:r w:rsidR="00FD700A" w:rsidRPr="00FD700A">
        <w:rPr>
          <w:rFonts w:ascii="Times New Roman" w:eastAsia="Times New Roman" w:hAnsi="Times New Roman" w:cs="Times New Roman"/>
          <w:sz w:val="28"/>
          <w:szCs w:val="28"/>
        </w:rPr>
        <w:t>заработной платы в 202</w:t>
      </w:r>
      <w:r w:rsidR="000D2B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700A" w:rsidRPr="00FD700A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0D2B13" w:rsidRPr="000D2B13">
        <w:rPr>
          <w:rFonts w:ascii="Times New Roman" w:eastAsia="Times New Roman" w:hAnsi="Times New Roman" w:cs="Times New Roman"/>
          <w:sz w:val="28"/>
          <w:szCs w:val="28"/>
        </w:rPr>
        <w:t>2855,69 руб., то есть на 13,9 % к уровню 2021 года</w:t>
      </w:r>
      <w:r w:rsidR="001A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B13" w:rsidRPr="000D2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224" w:rsidRPr="0069002F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 xml:space="preserve">Согласно аналитическому отчету «Удовлетворенность населения муниципальных районов Кировской области», составленному Волго-Вятским институтом (филиалом) МГЮА, качеством дошкольного образования в </w:t>
      </w:r>
      <w:r w:rsidRPr="0069002F">
        <w:rPr>
          <w:rFonts w:ascii="Times New Roman" w:hAnsi="Times New Roman" w:cs="Times New Roman"/>
          <w:sz w:val="28"/>
          <w:szCs w:val="28"/>
        </w:rPr>
        <w:lastRenderedPageBreak/>
        <w:t xml:space="preserve">районе удовлетворены </w:t>
      </w:r>
      <w:r w:rsidR="00DE13AA">
        <w:rPr>
          <w:rFonts w:ascii="Times New Roman" w:hAnsi="Times New Roman" w:cs="Times New Roman"/>
          <w:sz w:val="28"/>
          <w:szCs w:val="28"/>
        </w:rPr>
        <w:t>93,4</w:t>
      </w:r>
      <w:r w:rsidRPr="0069002F">
        <w:rPr>
          <w:rFonts w:ascii="Times New Roman" w:hAnsi="Times New Roman" w:cs="Times New Roman"/>
          <w:sz w:val="28"/>
          <w:szCs w:val="28"/>
        </w:rPr>
        <w:t xml:space="preserve"> % респондентов,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F7700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DE13AA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9002F">
        <w:rPr>
          <w:rFonts w:ascii="Times New Roman" w:hAnsi="Times New Roman" w:cs="Times New Roman"/>
          <w:sz w:val="28"/>
          <w:szCs w:val="28"/>
        </w:rPr>
        <w:t xml:space="preserve">результатов прошлого года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002F">
        <w:rPr>
          <w:rFonts w:ascii="Times New Roman" w:hAnsi="Times New Roman" w:cs="Times New Roman"/>
          <w:sz w:val="28"/>
          <w:szCs w:val="28"/>
        </w:rPr>
        <w:t xml:space="preserve"> выше среднеобластных показателей (</w:t>
      </w:r>
      <w:r w:rsidR="00DE13AA">
        <w:rPr>
          <w:rFonts w:ascii="Times New Roman" w:hAnsi="Times New Roman" w:cs="Times New Roman"/>
          <w:sz w:val="28"/>
          <w:szCs w:val="28"/>
        </w:rPr>
        <w:t>89,4</w:t>
      </w:r>
      <w:r w:rsidRPr="0069002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00224" w:rsidRPr="00C1223A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23A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1 января 2020 года все 3 общеобразовательные школы, расположенные на территории Кикнурского района, являются областными государственными организациями. В них обучалось на 01.09.20</w:t>
      </w:r>
      <w:r w:rsidR="008F7700">
        <w:rPr>
          <w:rFonts w:ascii="Times New Roman" w:hAnsi="Times New Roman" w:cs="Times New Roman"/>
          <w:sz w:val="28"/>
          <w:szCs w:val="28"/>
        </w:rPr>
        <w:t>2</w:t>
      </w:r>
      <w:r w:rsidR="000E1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="000E10A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учащи</w:t>
      </w:r>
      <w:r w:rsidR="000E10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ся, на 01.</w:t>
      </w:r>
      <w:r w:rsidR="008F770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F77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="000E10A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двое несовершеннолетних осваивали программы основного общего образования вне образовательной организации в форме семейного образования, </w:t>
      </w:r>
      <w:r w:rsidR="000E10A6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ое детей обучались на базе областного Центра дистанционного образования школьников. Т.о. был обеспечен 100-процентный охват несовершеннолетних обязательным общим образованием.</w:t>
      </w:r>
    </w:p>
    <w:p w:rsidR="005D67FC" w:rsidRPr="005D67FC" w:rsidRDefault="005D67FC" w:rsidP="005D67F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о итогам 202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года, </w:t>
      </w:r>
      <w:r>
        <w:rPr>
          <w:rFonts w:ascii="Times New Roman" w:hAnsi="Times New Roman" w:cs="Times New Roman"/>
          <w:sz w:val="28"/>
          <w:szCs w:val="28"/>
        </w:rPr>
        <w:t>все выпускники получили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аттестат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о среднем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образовании, 98,4% - об основном общем образовании (1 обучающийся не справился с государственной итоговой аттестацией).</w:t>
      </w:r>
    </w:p>
    <w:p w:rsidR="005D67FC" w:rsidRPr="005D67FC" w:rsidRDefault="005D67FC" w:rsidP="005D67F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Доля выпускников общеобразовательных учреждений, в общей численности выпускников сдавших ЕГЭ, 100 %. За последние 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года не было учащихся, которые не сдали бы единый государственный экзамен по русскому языку и математике. Процент качества обученности составил 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36,9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%, что на 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,2 % 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выш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е итогов за 20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Одна выпускница получила аттестат о средн</w:t>
      </w:r>
      <w:r w:rsidR="00412A7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м общем образовании особого образца и феде</w:t>
      </w:r>
      <w:r w:rsidR="00412A7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E10A6">
        <w:rPr>
          <w:rFonts w:ascii="Times New Roman" w:eastAsia="Times New Roman" w:hAnsi="Times New Roman" w:cs="Times New Roman"/>
          <w:sz w:val="28"/>
          <w:szCs w:val="28"/>
        </w:rPr>
        <w:t>альную золотую медаль</w:t>
      </w:r>
      <w:r w:rsidR="00412A77">
        <w:rPr>
          <w:rFonts w:ascii="Times New Roman" w:eastAsia="Times New Roman" w:hAnsi="Times New Roman" w:cs="Times New Roman"/>
          <w:sz w:val="28"/>
          <w:szCs w:val="28"/>
        </w:rPr>
        <w:t xml:space="preserve"> «За особые успехи в учении», ещё одна – региональную медаль.</w:t>
      </w:r>
      <w:r w:rsidRPr="005D6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224" w:rsidRPr="00835A29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A29">
        <w:rPr>
          <w:rFonts w:ascii="Times New Roman" w:hAnsi="Times New Roman" w:cs="Times New Roman"/>
          <w:sz w:val="28"/>
          <w:szCs w:val="28"/>
        </w:rPr>
        <w:t xml:space="preserve">По данным ежегодного опроса общественного мнения, проведённого Волго-Вятским институтом (филиалом) МГЮА, доля удовлетворенности качеством общего образования  в Кикнурском  составила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12A77">
        <w:rPr>
          <w:rFonts w:ascii="Times New Roman" w:hAnsi="Times New Roman" w:cs="Times New Roman"/>
          <w:sz w:val="28"/>
          <w:szCs w:val="28"/>
        </w:rPr>
        <w:t>3,0</w:t>
      </w:r>
      <w:r w:rsidRPr="00835A29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412A77">
        <w:rPr>
          <w:rFonts w:ascii="Times New Roman" w:hAnsi="Times New Roman" w:cs="Times New Roman"/>
          <w:sz w:val="28"/>
          <w:szCs w:val="28"/>
        </w:rPr>
        <w:t>3,1</w:t>
      </w:r>
      <w:r w:rsidRPr="00835A29">
        <w:rPr>
          <w:rFonts w:ascii="Times New Roman" w:hAnsi="Times New Roman" w:cs="Times New Roman"/>
          <w:sz w:val="28"/>
          <w:szCs w:val="28"/>
        </w:rPr>
        <w:t xml:space="preserve"> % </w:t>
      </w:r>
      <w:r w:rsidR="00412A77">
        <w:rPr>
          <w:rFonts w:ascii="Times New Roman" w:hAnsi="Times New Roman" w:cs="Times New Roman"/>
          <w:sz w:val="28"/>
          <w:szCs w:val="28"/>
        </w:rPr>
        <w:t>ниж</w:t>
      </w:r>
      <w:r w:rsidRPr="00835A29">
        <w:rPr>
          <w:rFonts w:ascii="Times New Roman" w:hAnsi="Times New Roman" w:cs="Times New Roman"/>
          <w:sz w:val="28"/>
          <w:szCs w:val="28"/>
        </w:rPr>
        <w:t xml:space="preserve">е прошлого года (по Кировской области этот показатель – </w:t>
      </w:r>
      <w:r w:rsidR="00412A77">
        <w:rPr>
          <w:rFonts w:ascii="Times New Roman" w:hAnsi="Times New Roman" w:cs="Times New Roman"/>
          <w:sz w:val="28"/>
          <w:szCs w:val="28"/>
        </w:rPr>
        <w:t>89</w:t>
      </w:r>
      <w:r w:rsidR="002E7D88">
        <w:rPr>
          <w:rFonts w:ascii="Times New Roman" w:hAnsi="Times New Roman" w:cs="Times New Roman"/>
          <w:sz w:val="28"/>
          <w:szCs w:val="28"/>
        </w:rPr>
        <w:t>,8</w:t>
      </w:r>
      <w:r w:rsidRPr="00835A29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00224" w:rsidRPr="00B36A85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A85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A50014" w:rsidRDefault="00A50014" w:rsidP="00A5001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9E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по дополнительным общеобразовательным программам осуществлялась </w:t>
      </w:r>
      <w:r>
        <w:rPr>
          <w:rFonts w:ascii="Times New Roman" w:hAnsi="Times New Roman" w:cs="Times New Roman"/>
          <w:color w:val="000000"/>
          <w:sz w:val="28"/>
          <w:szCs w:val="28"/>
        </w:rPr>
        <w:t>тремя</w:t>
      </w:r>
      <w:r w:rsidRPr="004E49E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 дополнительного образования: МКОУ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ДДТ, МКОУ ДО ДЮСШ пгт. Кикнур и  МБОУ ДО ДМШ.</w:t>
      </w:r>
    </w:p>
    <w:p w:rsidR="00A50014" w:rsidRPr="00487BB4" w:rsidRDefault="00A50014" w:rsidP="00A5001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BB4">
        <w:rPr>
          <w:rFonts w:ascii="Times New Roman" w:hAnsi="Times New Roman" w:cs="Times New Roman"/>
          <w:color w:val="000000"/>
          <w:sz w:val="28"/>
          <w:szCs w:val="28"/>
        </w:rPr>
        <w:t xml:space="preserve">Доля детей в возрасте 5-18 лет, получающих услуги по дополнительному образованию от общей численности детей данного возраста составляет </w:t>
      </w:r>
      <w:r w:rsidR="00487BB4" w:rsidRPr="00487BB4">
        <w:rPr>
          <w:rFonts w:ascii="Times New Roman" w:hAnsi="Times New Roman" w:cs="Times New Roman"/>
          <w:color w:val="000000"/>
          <w:sz w:val="28"/>
          <w:szCs w:val="28"/>
        </w:rPr>
        <w:t>71,4</w:t>
      </w:r>
      <w:r w:rsidRPr="00487BB4">
        <w:rPr>
          <w:rFonts w:ascii="Times New Roman" w:hAnsi="Times New Roman" w:cs="Times New Roman"/>
          <w:color w:val="000000"/>
          <w:sz w:val="28"/>
          <w:szCs w:val="28"/>
        </w:rPr>
        <w:t xml:space="preserve"> %. Это </w:t>
      </w:r>
      <w:r w:rsidR="00487BB4" w:rsidRPr="00487BB4">
        <w:rPr>
          <w:rFonts w:ascii="Times New Roman" w:hAnsi="Times New Roman" w:cs="Times New Roman"/>
          <w:color w:val="000000"/>
          <w:sz w:val="28"/>
          <w:szCs w:val="28"/>
        </w:rPr>
        <w:t>выше, чем было установлено планом (68%).</w:t>
      </w:r>
      <w:r w:rsidRPr="00487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BB4" w:rsidRPr="00487B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87BB4">
        <w:rPr>
          <w:rFonts w:ascii="Times New Roman" w:hAnsi="Times New Roman" w:cs="Times New Roman"/>
          <w:color w:val="000000"/>
          <w:sz w:val="28"/>
          <w:szCs w:val="28"/>
        </w:rPr>
        <w:t>о 2024 года данный показатель планируется довести до 80 % от общей численности детей данного возраста.</w:t>
      </w:r>
    </w:p>
    <w:p w:rsidR="00A50014" w:rsidRPr="00CF465C" w:rsidRDefault="00412A77" w:rsidP="00A5001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A77">
        <w:rPr>
          <w:rFonts w:ascii="Times New Roman" w:hAnsi="Times New Roman" w:cs="Times New Roman"/>
          <w:color w:val="000000"/>
          <w:sz w:val="28"/>
          <w:szCs w:val="28"/>
        </w:rPr>
        <w:t>Дополнительным образованием в 2022 году было охвачено 736 человек, что на 2 человека больше уровня 2021 года.   В МКОУ ДО ДЮСШ обучалось 284 человека, в МКОУ ДО «ДДТ» - 404. в детской музыкальной школе -48 человека. Общее число объединений составляет 44, из них 18 – ДЮСШ, 24 – ДДТ, 2-в детской музыкальной школе.</w:t>
      </w:r>
    </w:p>
    <w:p w:rsidR="00A50014" w:rsidRDefault="00A50014" w:rsidP="004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E0">
        <w:rPr>
          <w:rFonts w:ascii="Times New Roman" w:hAnsi="Times New Roman" w:cs="Times New Roman"/>
          <w:sz w:val="28"/>
          <w:szCs w:val="28"/>
        </w:rPr>
        <w:t>Для кикнурских школьников</w:t>
      </w:r>
      <w:r w:rsidR="00412A77">
        <w:rPr>
          <w:rFonts w:ascii="Times New Roman" w:hAnsi="Times New Roman" w:cs="Times New Roman"/>
          <w:sz w:val="28"/>
          <w:szCs w:val="28"/>
        </w:rPr>
        <w:t xml:space="preserve"> </w:t>
      </w:r>
      <w:r w:rsidRPr="005578E0">
        <w:rPr>
          <w:rFonts w:ascii="Times New Roman" w:hAnsi="Times New Roman" w:cs="Times New Roman"/>
          <w:sz w:val="28"/>
          <w:szCs w:val="28"/>
        </w:rPr>
        <w:t>на базе кружков и секций ДДТ и ДЮСШ реализовались части программ по внеурочной деятельности.</w:t>
      </w:r>
    </w:p>
    <w:p w:rsidR="002E7D88" w:rsidRPr="00412A77" w:rsidRDefault="00A50014" w:rsidP="00A5001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836">
        <w:rPr>
          <w:rFonts w:ascii="Times New Roman" w:hAnsi="Times New Roman" w:cs="Times New Roman"/>
          <w:sz w:val="28"/>
          <w:szCs w:val="28"/>
        </w:rPr>
        <w:lastRenderedPageBreak/>
        <w:t xml:space="preserve">В МКОУ ДО ДЮСШ им. А.Ф. Оленёва пгт Кикнур работали 4 </w:t>
      </w:r>
      <w:r w:rsidR="00B83836">
        <w:rPr>
          <w:rFonts w:ascii="Times New Roman" w:hAnsi="Times New Roman" w:cs="Times New Roman"/>
          <w:sz w:val="28"/>
          <w:szCs w:val="28"/>
        </w:rPr>
        <w:t xml:space="preserve">штатных </w:t>
      </w:r>
      <w:r w:rsidRPr="00B83836">
        <w:rPr>
          <w:rFonts w:ascii="Times New Roman" w:hAnsi="Times New Roman" w:cs="Times New Roman"/>
          <w:sz w:val="28"/>
          <w:szCs w:val="28"/>
        </w:rPr>
        <w:t>педагога</w:t>
      </w:r>
      <w:r w:rsidR="00B83836">
        <w:rPr>
          <w:rFonts w:ascii="Times New Roman" w:hAnsi="Times New Roman" w:cs="Times New Roman"/>
          <w:sz w:val="28"/>
          <w:szCs w:val="28"/>
        </w:rPr>
        <w:t xml:space="preserve"> и 2 педагога-совместителя</w:t>
      </w:r>
      <w:r w:rsidRPr="00412A7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3836" w:rsidRPr="00B83836">
        <w:rPr>
          <w:rFonts w:ascii="Times New Roman" w:hAnsi="Times New Roman" w:cs="Times New Roman"/>
          <w:sz w:val="28"/>
          <w:szCs w:val="28"/>
        </w:rPr>
        <w:t>Из них в</w:t>
      </w:r>
      <w:r w:rsidRPr="00B83836">
        <w:rPr>
          <w:rFonts w:ascii="Times New Roman" w:hAnsi="Times New Roman" w:cs="Times New Roman"/>
          <w:sz w:val="28"/>
          <w:szCs w:val="28"/>
        </w:rPr>
        <w:t xml:space="preserve">ысшее педагогическое образование имели 3 </w:t>
      </w:r>
      <w:r w:rsidR="00B83836">
        <w:rPr>
          <w:rFonts w:ascii="Times New Roman" w:hAnsi="Times New Roman" w:cs="Times New Roman"/>
          <w:sz w:val="28"/>
          <w:szCs w:val="28"/>
        </w:rPr>
        <w:t>тренера-преподавателя</w:t>
      </w:r>
      <w:r w:rsidR="00B83836" w:rsidRPr="00B83836">
        <w:rPr>
          <w:rFonts w:ascii="Times New Roman" w:hAnsi="Times New Roman" w:cs="Times New Roman"/>
          <w:sz w:val="28"/>
          <w:szCs w:val="28"/>
        </w:rPr>
        <w:t xml:space="preserve">, </w:t>
      </w:r>
      <w:r w:rsidR="00B83836">
        <w:rPr>
          <w:rFonts w:ascii="Times New Roman" w:hAnsi="Times New Roman" w:cs="Times New Roman"/>
          <w:sz w:val="28"/>
          <w:szCs w:val="28"/>
        </w:rPr>
        <w:t>п</w:t>
      </w:r>
      <w:r w:rsidRPr="00B83836">
        <w:rPr>
          <w:rFonts w:ascii="Times New Roman" w:hAnsi="Times New Roman" w:cs="Times New Roman"/>
          <w:sz w:val="28"/>
          <w:szCs w:val="28"/>
        </w:rPr>
        <w:t xml:space="preserve">ервую квалификационную категорию </w:t>
      </w:r>
      <w:r w:rsidR="00B83836">
        <w:rPr>
          <w:rFonts w:ascii="Times New Roman" w:hAnsi="Times New Roman" w:cs="Times New Roman"/>
          <w:sz w:val="28"/>
          <w:szCs w:val="28"/>
        </w:rPr>
        <w:t xml:space="preserve">– </w:t>
      </w:r>
      <w:r w:rsidRPr="00B83836">
        <w:rPr>
          <w:rFonts w:ascii="Times New Roman" w:hAnsi="Times New Roman" w:cs="Times New Roman"/>
          <w:sz w:val="28"/>
          <w:szCs w:val="28"/>
        </w:rPr>
        <w:t xml:space="preserve">2 педагога, соответствие занимаемой должности – </w:t>
      </w:r>
      <w:r w:rsidR="00B83836">
        <w:rPr>
          <w:rFonts w:ascii="Times New Roman" w:hAnsi="Times New Roman" w:cs="Times New Roman"/>
          <w:sz w:val="28"/>
          <w:szCs w:val="28"/>
        </w:rPr>
        <w:t>3</w:t>
      </w:r>
      <w:r w:rsidRPr="00B83836">
        <w:rPr>
          <w:rFonts w:ascii="Times New Roman" w:hAnsi="Times New Roman" w:cs="Times New Roman"/>
          <w:sz w:val="28"/>
          <w:szCs w:val="28"/>
        </w:rPr>
        <w:t xml:space="preserve">. В МКОУ ДО ДДТ  работали 5 </w:t>
      </w:r>
      <w:r w:rsidR="00B83836" w:rsidRPr="00B83836">
        <w:rPr>
          <w:rFonts w:ascii="Times New Roman" w:hAnsi="Times New Roman" w:cs="Times New Roman"/>
          <w:sz w:val="28"/>
          <w:szCs w:val="28"/>
        </w:rPr>
        <w:t xml:space="preserve">штатных </w:t>
      </w:r>
      <w:r w:rsidRPr="00B83836">
        <w:rPr>
          <w:rFonts w:ascii="Times New Roman" w:hAnsi="Times New Roman" w:cs="Times New Roman"/>
          <w:sz w:val="28"/>
          <w:szCs w:val="28"/>
        </w:rPr>
        <w:t>педагогов</w:t>
      </w:r>
      <w:r w:rsidR="00B83836" w:rsidRPr="00B83836">
        <w:rPr>
          <w:rFonts w:ascii="Times New Roman" w:hAnsi="Times New Roman" w:cs="Times New Roman"/>
          <w:sz w:val="28"/>
          <w:szCs w:val="28"/>
        </w:rPr>
        <w:t xml:space="preserve"> и 3 педагога-совместителя</w:t>
      </w:r>
      <w:r w:rsidRPr="00B83836">
        <w:rPr>
          <w:rFonts w:ascii="Times New Roman" w:hAnsi="Times New Roman" w:cs="Times New Roman"/>
          <w:sz w:val="28"/>
          <w:szCs w:val="28"/>
        </w:rPr>
        <w:t xml:space="preserve">, из них имели высшее педагогическое образование – </w:t>
      </w:r>
      <w:r w:rsidR="00B83836" w:rsidRPr="00B83836">
        <w:rPr>
          <w:rFonts w:ascii="Times New Roman" w:hAnsi="Times New Roman" w:cs="Times New Roman"/>
          <w:sz w:val="28"/>
          <w:szCs w:val="28"/>
        </w:rPr>
        <w:t>4</w:t>
      </w:r>
      <w:r w:rsidRPr="00B83836">
        <w:rPr>
          <w:rFonts w:ascii="Times New Roman" w:hAnsi="Times New Roman" w:cs="Times New Roman"/>
          <w:sz w:val="28"/>
          <w:szCs w:val="28"/>
        </w:rPr>
        <w:t xml:space="preserve">, среднее специальное педагогическое – </w:t>
      </w:r>
      <w:r w:rsidR="00B83836" w:rsidRPr="00B83836">
        <w:rPr>
          <w:rFonts w:ascii="Times New Roman" w:hAnsi="Times New Roman" w:cs="Times New Roman"/>
          <w:sz w:val="28"/>
          <w:szCs w:val="28"/>
        </w:rPr>
        <w:t>4</w:t>
      </w:r>
      <w:r w:rsidRPr="00B83836">
        <w:rPr>
          <w:rFonts w:ascii="Times New Roman" w:hAnsi="Times New Roman" w:cs="Times New Roman"/>
          <w:sz w:val="28"/>
          <w:szCs w:val="28"/>
        </w:rPr>
        <w:t>. Первую квалификацион</w:t>
      </w:r>
      <w:r w:rsidR="00B83836" w:rsidRPr="00B83836">
        <w:rPr>
          <w:rFonts w:ascii="Times New Roman" w:hAnsi="Times New Roman" w:cs="Times New Roman"/>
          <w:sz w:val="28"/>
          <w:szCs w:val="28"/>
        </w:rPr>
        <w:t>ную  категорию имели 4 педагога</w:t>
      </w:r>
      <w:r w:rsidRPr="00B83836">
        <w:rPr>
          <w:rFonts w:ascii="Times New Roman" w:hAnsi="Times New Roman" w:cs="Times New Roman"/>
          <w:sz w:val="28"/>
          <w:szCs w:val="28"/>
        </w:rPr>
        <w:t>.</w:t>
      </w:r>
      <w:r w:rsidR="00B83836">
        <w:rPr>
          <w:rFonts w:ascii="Times New Roman" w:hAnsi="Times New Roman" w:cs="Times New Roman"/>
          <w:sz w:val="28"/>
          <w:szCs w:val="28"/>
        </w:rPr>
        <w:t xml:space="preserve"> В </w:t>
      </w:r>
      <w:r w:rsidR="00076AA3">
        <w:rPr>
          <w:rFonts w:ascii="Times New Roman" w:hAnsi="Times New Roman" w:cs="Times New Roman"/>
          <w:sz w:val="28"/>
          <w:szCs w:val="28"/>
        </w:rPr>
        <w:t>МБОУ ДМШ работали 3 преподавателя, двое из них имели высшую категории., один – первую.</w:t>
      </w:r>
    </w:p>
    <w:p w:rsidR="00C00224" w:rsidRPr="00F22D04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D04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педагогических кадров системы дополнительного образования района </w:t>
      </w:r>
      <w:r w:rsidR="00076AA3">
        <w:rPr>
          <w:rFonts w:ascii="Times New Roman" w:hAnsi="Times New Roman" w:cs="Times New Roman"/>
          <w:sz w:val="28"/>
          <w:szCs w:val="28"/>
        </w:rPr>
        <w:t xml:space="preserve">(МКОУ ДО ДДТ и МКОУ ДО ДЮСШ) </w:t>
      </w:r>
      <w:r w:rsidRPr="00F22D04">
        <w:rPr>
          <w:rFonts w:ascii="Times New Roman" w:hAnsi="Times New Roman" w:cs="Times New Roman"/>
          <w:sz w:val="28"/>
          <w:szCs w:val="28"/>
        </w:rPr>
        <w:t>составила</w:t>
      </w:r>
      <w:r w:rsidRPr="00412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D04">
        <w:rPr>
          <w:rFonts w:ascii="Times New Roman" w:hAnsi="Times New Roman" w:cs="Times New Roman"/>
          <w:sz w:val="28"/>
          <w:szCs w:val="28"/>
        </w:rPr>
        <w:t>в 202</w:t>
      </w:r>
      <w:r w:rsidR="00E36079" w:rsidRPr="00F22D04">
        <w:rPr>
          <w:rFonts w:ascii="Times New Roman" w:hAnsi="Times New Roman" w:cs="Times New Roman"/>
          <w:sz w:val="28"/>
          <w:szCs w:val="28"/>
        </w:rPr>
        <w:t>2</w:t>
      </w:r>
      <w:r w:rsidRPr="00F22D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5C64">
        <w:rPr>
          <w:rFonts w:ascii="Times New Roman" w:hAnsi="Times New Roman" w:cs="Times New Roman"/>
          <w:sz w:val="28"/>
          <w:szCs w:val="28"/>
        </w:rPr>
        <w:t>26625,5</w:t>
      </w:r>
      <w:r w:rsidRPr="00F22D04">
        <w:rPr>
          <w:rFonts w:ascii="Times New Roman" w:hAnsi="Times New Roman" w:cs="Times New Roman"/>
          <w:sz w:val="28"/>
          <w:szCs w:val="28"/>
        </w:rPr>
        <w:t xml:space="preserve"> рублей, что выше уровня 20</w:t>
      </w:r>
      <w:r w:rsidR="00446D45" w:rsidRPr="00F22D04">
        <w:rPr>
          <w:rFonts w:ascii="Times New Roman" w:hAnsi="Times New Roman" w:cs="Times New Roman"/>
          <w:sz w:val="28"/>
          <w:szCs w:val="28"/>
        </w:rPr>
        <w:t>2</w:t>
      </w:r>
      <w:r w:rsidR="00F22D04" w:rsidRPr="00F22D04">
        <w:rPr>
          <w:rFonts w:ascii="Times New Roman" w:hAnsi="Times New Roman" w:cs="Times New Roman"/>
          <w:sz w:val="28"/>
          <w:szCs w:val="28"/>
        </w:rPr>
        <w:t>1</w:t>
      </w:r>
      <w:r w:rsidRPr="00F22D04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1A5C64">
        <w:rPr>
          <w:rFonts w:ascii="Times New Roman" w:hAnsi="Times New Roman" w:cs="Times New Roman"/>
          <w:sz w:val="28"/>
          <w:szCs w:val="28"/>
        </w:rPr>
        <w:t>1</w:t>
      </w:r>
      <w:r w:rsidRPr="00F22D04">
        <w:rPr>
          <w:rFonts w:ascii="Times New Roman" w:hAnsi="Times New Roman" w:cs="Times New Roman"/>
          <w:sz w:val="28"/>
          <w:szCs w:val="28"/>
        </w:rPr>
        <w:t>,</w:t>
      </w:r>
      <w:r w:rsidR="001A5C64">
        <w:rPr>
          <w:rFonts w:ascii="Times New Roman" w:hAnsi="Times New Roman" w:cs="Times New Roman"/>
          <w:sz w:val="28"/>
          <w:szCs w:val="28"/>
        </w:rPr>
        <w:t>2</w:t>
      </w:r>
      <w:r w:rsidRPr="00F22D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00224" w:rsidRDefault="00C00224" w:rsidP="00C0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2F">
        <w:rPr>
          <w:rFonts w:ascii="Times New Roman" w:hAnsi="Times New Roman" w:cs="Times New Roman"/>
          <w:sz w:val="28"/>
          <w:szCs w:val="28"/>
        </w:rPr>
        <w:t xml:space="preserve">Согласно аналитическому отчету «Удовлетворенность населения муниципальных районов Кировской области», составленному Волго-Вятским институтом МГЮА, качеством дополнительного образования в районе удовлетворены </w:t>
      </w:r>
      <w:r w:rsidR="00412A77">
        <w:rPr>
          <w:rFonts w:ascii="Times New Roman" w:hAnsi="Times New Roman" w:cs="Times New Roman"/>
          <w:sz w:val="28"/>
          <w:szCs w:val="28"/>
        </w:rPr>
        <w:t>92,5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9002F">
        <w:rPr>
          <w:rFonts w:ascii="Times New Roman" w:hAnsi="Times New Roman" w:cs="Times New Roman"/>
          <w:sz w:val="28"/>
          <w:szCs w:val="28"/>
        </w:rPr>
        <w:t xml:space="preserve"> % респондентов, что на </w:t>
      </w:r>
      <w:r w:rsidR="00412A77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2F">
        <w:rPr>
          <w:rFonts w:ascii="Times New Roman" w:hAnsi="Times New Roman" w:cs="Times New Roman"/>
          <w:sz w:val="28"/>
          <w:szCs w:val="28"/>
        </w:rPr>
        <w:t xml:space="preserve">% </w:t>
      </w:r>
      <w:r w:rsidR="00412A77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02F">
        <w:rPr>
          <w:rFonts w:ascii="Times New Roman" w:hAnsi="Times New Roman" w:cs="Times New Roman"/>
          <w:sz w:val="28"/>
          <w:szCs w:val="28"/>
        </w:rPr>
        <w:t xml:space="preserve"> уровня прошлого года и на </w:t>
      </w:r>
      <w:r w:rsidR="00412A77">
        <w:rPr>
          <w:rFonts w:ascii="Times New Roman" w:hAnsi="Times New Roman" w:cs="Times New Roman"/>
          <w:sz w:val="28"/>
          <w:szCs w:val="28"/>
        </w:rPr>
        <w:t>3</w:t>
      </w:r>
      <w:r w:rsidR="002E7D88">
        <w:rPr>
          <w:rFonts w:ascii="Times New Roman" w:hAnsi="Times New Roman" w:cs="Times New Roman"/>
          <w:sz w:val="28"/>
          <w:szCs w:val="28"/>
        </w:rPr>
        <w:t>%</w:t>
      </w:r>
      <w:r w:rsidRPr="00690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69002F">
        <w:rPr>
          <w:rFonts w:ascii="Times New Roman" w:hAnsi="Times New Roman" w:cs="Times New Roman"/>
          <w:sz w:val="28"/>
          <w:szCs w:val="28"/>
        </w:rPr>
        <w:t xml:space="preserve"> среднеобластного уровня.</w:t>
      </w:r>
    </w:p>
    <w:p w:rsidR="001419DB" w:rsidRPr="00412A77" w:rsidRDefault="001419DB" w:rsidP="001419DB">
      <w:pPr>
        <w:pStyle w:val="a9"/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412A77">
        <w:rPr>
          <w:rFonts w:ascii="Times New Roman" w:hAnsi="Times New Roman" w:cs="Times New Roman"/>
          <w:i/>
          <w:sz w:val="28"/>
          <w:szCs w:val="28"/>
        </w:rPr>
        <w:t>С целью организации и обеспечения</w:t>
      </w:r>
      <w:r w:rsidRPr="00412A77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развития, отдыха, оздоровления и занятости детей в период летних каникул были организованы:</w:t>
      </w:r>
    </w:p>
    <w:p w:rsidR="001419DB" w:rsidRPr="0030295E" w:rsidRDefault="001419DB" w:rsidP="00141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295E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0295E">
        <w:rPr>
          <w:rFonts w:ascii="Times New Roman" w:hAnsi="Times New Roman" w:cs="Times New Roman"/>
          <w:sz w:val="28"/>
          <w:szCs w:val="28"/>
        </w:rPr>
        <w:t xml:space="preserve">Детский оздоровительный 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лагерь  «Солнышко» на базе КОГОБУ СШ с УИОП пгт Кикнур (с 01.-27.06.2022) посещало  1</w:t>
      </w:r>
      <w:r w:rsidR="001A7319"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52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человека.</w:t>
      </w:r>
    </w:p>
    <w:p w:rsidR="001419DB" w:rsidRPr="0030295E" w:rsidRDefault="001419DB" w:rsidP="00141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30295E">
        <w:rPr>
          <w:rFonts w:ascii="Times New Roman" w:hAnsi="Times New Roman" w:cs="Times New Roman"/>
          <w:sz w:val="28"/>
          <w:szCs w:val="28"/>
        </w:rPr>
        <w:t xml:space="preserve">Детский оздоровительный 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лагерь  «Радуга» на базе КОГОБУ ОШ с. Русские Краи</w:t>
      </w:r>
      <w:r w:rsidR="001A7319"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23 ребенка (с. Русские Краи-15 детей, с. Тырышкино- 8 детей).</w:t>
      </w:r>
    </w:p>
    <w:p w:rsidR="001419DB" w:rsidRPr="0030295E" w:rsidRDefault="001419DB" w:rsidP="001419DB">
      <w:pPr>
        <w:pStyle w:val="a9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5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30295E">
        <w:rPr>
          <w:rFonts w:ascii="Times New Roman" w:hAnsi="Times New Roman" w:cs="Times New Roman"/>
          <w:sz w:val="28"/>
          <w:szCs w:val="28"/>
        </w:rPr>
        <w:t>детская разновозрастная площадка</w:t>
      </w:r>
      <w:r w:rsidRPr="003029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«Созвездие таланто</w:t>
      </w:r>
      <w:r w:rsidR="001A7319" w:rsidRPr="003029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в» на базе МКУ ДО ДДТ пгт Кикнур: </w:t>
      </w:r>
      <w:r w:rsidRPr="0030295E">
        <w:rPr>
          <w:rFonts w:ascii="Times New Roman" w:eastAsia="Times New Roman" w:hAnsi="Times New Roman" w:cs="Times New Roman"/>
          <w:spacing w:val="2"/>
          <w:sz w:val="28"/>
          <w:szCs w:val="28"/>
        </w:rPr>
        <w:t>с 01 по 12 августа 2022 года</w:t>
      </w:r>
      <w:r w:rsidR="001A7319" w:rsidRPr="0030295E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30295E">
        <w:rPr>
          <w:rFonts w:ascii="Times New Roman" w:hAnsi="Times New Roman" w:cs="Times New Roman"/>
          <w:sz w:val="28"/>
          <w:szCs w:val="28"/>
        </w:rPr>
        <w:t xml:space="preserve"> 20 детей.</w:t>
      </w:r>
    </w:p>
    <w:p w:rsidR="001419DB" w:rsidRPr="0030295E" w:rsidRDefault="001419DB" w:rsidP="001419DB">
      <w:pPr>
        <w:pStyle w:val="a9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5E">
        <w:rPr>
          <w:rFonts w:ascii="Times New Roman" w:hAnsi="Times New Roman" w:cs="Times New Roman"/>
          <w:sz w:val="28"/>
          <w:szCs w:val="28"/>
        </w:rPr>
        <w:t xml:space="preserve">- </w:t>
      </w:r>
      <w:r w:rsidRPr="0030295E">
        <w:rPr>
          <w:rFonts w:ascii="Times New Roman" w:hAnsi="Times New Roman"/>
          <w:sz w:val="28"/>
          <w:szCs w:val="28"/>
        </w:rPr>
        <w:t>д</w:t>
      </w:r>
      <w:r w:rsidRPr="0030295E">
        <w:rPr>
          <w:rFonts w:ascii="Times New Roman" w:hAnsi="Times New Roman" w:cs="Times New Roman"/>
          <w:sz w:val="28"/>
          <w:szCs w:val="28"/>
        </w:rPr>
        <w:t xml:space="preserve">етский спортивный оздоровительный лагерь «Олимпиец» на базе </w:t>
      </w:r>
      <w:r w:rsidRPr="0030295E">
        <w:rPr>
          <w:rFonts w:ascii="Times New Roman" w:eastAsia="Times New Roman" w:hAnsi="Times New Roman" w:cs="Times New Roman"/>
          <w:sz w:val="28"/>
          <w:szCs w:val="28"/>
        </w:rPr>
        <w:t>МКУ ДО «ДЮСШ им. А.Ф.Оленева» (</w:t>
      </w:r>
      <w:r w:rsidRPr="0030295E">
        <w:rPr>
          <w:rFonts w:ascii="Times New Roman" w:hAnsi="Times New Roman"/>
          <w:sz w:val="28"/>
          <w:szCs w:val="28"/>
        </w:rPr>
        <w:t>с 1 по 20 августа 2022 года)</w:t>
      </w:r>
      <w:r w:rsidR="001A7319" w:rsidRPr="0030295E">
        <w:rPr>
          <w:rFonts w:ascii="Times New Roman" w:hAnsi="Times New Roman" w:cs="Times New Roman"/>
          <w:sz w:val="28"/>
          <w:szCs w:val="28"/>
        </w:rPr>
        <w:t xml:space="preserve"> посетили 70 детей</w:t>
      </w:r>
    </w:p>
    <w:p w:rsidR="001A7319" w:rsidRPr="0030295E" w:rsidRDefault="001A7319" w:rsidP="001419DB">
      <w:pPr>
        <w:pStyle w:val="a9"/>
        <w:spacing w:after="0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5E">
        <w:rPr>
          <w:rFonts w:ascii="Times New Roman" w:hAnsi="Times New Roman" w:cs="Times New Roman"/>
          <w:sz w:val="28"/>
          <w:szCs w:val="28"/>
        </w:rPr>
        <w:t>- работа дворового т</w:t>
      </w:r>
      <w:r w:rsidR="0030295E" w:rsidRPr="0030295E">
        <w:rPr>
          <w:rFonts w:ascii="Times New Roman" w:hAnsi="Times New Roman" w:cs="Times New Roman"/>
          <w:sz w:val="28"/>
          <w:szCs w:val="28"/>
        </w:rPr>
        <w:t>ренера:июль 2022 года, 15 детей.</w:t>
      </w:r>
    </w:p>
    <w:p w:rsidR="001419DB" w:rsidRPr="0030295E" w:rsidRDefault="001419DB" w:rsidP="001419DB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5E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«Организация временного трудоустройства несовершеннолетних граждан в возрасте от 14 до 18 лет в свободное от учебы время» было трудоустроено </w:t>
      </w:r>
      <w:r w:rsidR="001A7319" w:rsidRPr="0030295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295E">
        <w:rPr>
          <w:rFonts w:ascii="Times New Roman" w:eastAsia="Times New Roman" w:hAnsi="Times New Roman" w:cs="Times New Roman"/>
          <w:sz w:val="28"/>
          <w:szCs w:val="28"/>
        </w:rPr>
        <w:t>6 детей.</w:t>
      </w:r>
    </w:p>
    <w:p w:rsidR="00412A77" w:rsidRPr="00B36A85" w:rsidRDefault="00412A77" w:rsidP="004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5">
        <w:rPr>
          <w:rFonts w:ascii="Times New Roman" w:hAnsi="Times New Roman" w:cs="Times New Roman"/>
          <w:sz w:val="28"/>
          <w:szCs w:val="28"/>
        </w:rPr>
        <w:t>На конец 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6A85">
        <w:rPr>
          <w:rFonts w:ascii="Times New Roman" w:hAnsi="Times New Roman" w:cs="Times New Roman"/>
          <w:sz w:val="28"/>
          <w:szCs w:val="28"/>
        </w:rPr>
        <w:t xml:space="preserve">  года на учете в органе опеки и попечительства управления образования состояло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B36A85">
        <w:rPr>
          <w:rFonts w:ascii="Times New Roman" w:hAnsi="Times New Roman" w:cs="Times New Roman"/>
          <w:sz w:val="28"/>
          <w:szCs w:val="28"/>
        </w:rPr>
        <w:t xml:space="preserve">несовершеннолетних, из них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A85">
        <w:rPr>
          <w:rFonts w:ascii="Times New Roman" w:hAnsi="Times New Roman" w:cs="Times New Roman"/>
          <w:sz w:val="28"/>
          <w:szCs w:val="28"/>
        </w:rPr>
        <w:t xml:space="preserve"> – опекаемы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6A85">
        <w:rPr>
          <w:rFonts w:ascii="Times New Roman" w:hAnsi="Times New Roman" w:cs="Times New Roman"/>
          <w:sz w:val="28"/>
          <w:szCs w:val="28"/>
        </w:rPr>
        <w:t xml:space="preserve"> (подопечны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6A85">
        <w:rPr>
          <w:rFonts w:ascii="Times New Roman" w:hAnsi="Times New Roman" w:cs="Times New Roman"/>
          <w:sz w:val="28"/>
          <w:szCs w:val="28"/>
        </w:rPr>
        <w:t>),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A85">
        <w:rPr>
          <w:rFonts w:ascii="Times New Roman" w:hAnsi="Times New Roman" w:cs="Times New Roman"/>
          <w:sz w:val="28"/>
          <w:szCs w:val="28"/>
        </w:rPr>
        <w:t xml:space="preserve"> –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36A85">
        <w:rPr>
          <w:rFonts w:ascii="Times New Roman" w:hAnsi="Times New Roman" w:cs="Times New Roman"/>
          <w:sz w:val="28"/>
          <w:szCs w:val="28"/>
        </w:rPr>
        <w:t xml:space="preserve"> приемных семьях, 6 – усыновленных (удочеренных) посторонними гражданами,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6A85">
        <w:rPr>
          <w:rFonts w:ascii="Times New Roman" w:hAnsi="Times New Roman" w:cs="Times New Roman"/>
          <w:sz w:val="28"/>
          <w:szCs w:val="28"/>
        </w:rPr>
        <w:t xml:space="preserve"> детей находятся под опекой по заявлению родителей. Из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A85">
        <w:rPr>
          <w:rFonts w:ascii="Times New Roman" w:hAnsi="Times New Roman" w:cs="Times New Roman"/>
          <w:sz w:val="28"/>
          <w:szCs w:val="28"/>
        </w:rPr>
        <w:t xml:space="preserve"> несовершеннолетних имеют статус: </w:t>
      </w:r>
      <w:r>
        <w:rPr>
          <w:rFonts w:ascii="Times New Roman" w:hAnsi="Times New Roman" w:cs="Times New Roman"/>
          <w:sz w:val="28"/>
          <w:szCs w:val="28"/>
        </w:rPr>
        <w:t>4детей</w:t>
      </w:r>
      <w:r w:rsidRPr="00B36A85">
        <w:rPr>
          <w:rFonts w:ascii="Times New Roman" w:hAnsi="Times New Roman" w:cs="Times New Roman"/>
          <w:sz w:val="28"/>
          <w:szCs w:val="28"/>
        </w:rPr>
        <w:t>- сирот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6A85">
        <w:rPr>
          <w:rFonts w:ascii="Times New Roman" w:hAnsi="Times New Roman" w:cs="Times New Roman"/>
          <w:sz w:val="28"/>
          <w:szCs w:val="28"/>
        </w:rPr>
        <w:t>, у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6A85">
        <w:rPr>
          <w:rFonts w:ascii="Times New Roman" w:hAnsi="Times New Roman" w:cs="Times New Roman"/>
          <w:sz w:val="28"/>
          <w:szCs w:val="28"/>
        </w:rPr>
        <w:t xml:space="preserve"> детей – родители лишены родительских прав, у 2 детей – </w:t>
      </w:r>
      <w:r>
        <w:rPr>
          <w:rFonts w:ascii="Times New Roman" w:hAnsi="Times New Roman" w:cs="Times New Roman"/>
          <w:sz w:val="28"/>
          <w:szCs w:val="28"/>
        </w:rPr>
        <w:t>единственный</w:t>
      </w:r>
      <w:r w:rsidR="0030295E">
        <w:rPr>
          <w:rFonts w:ascii="Times New Roman" w:hAnsi="Times New Roman" w:cs="Times New Roman"/>
          <w:sz w:val="28"/>
          <w:szCs w:val="28"/>
        </w:rPr>
        <w:t xml:space="preserve"> </w:t>
      </w:r>
      <w:r w:rsidRPr="00B36A85">
        <w:rPr>
          <w:rFonts w:ascii="Times New Roman" w:hAnsi="Times New Roman" w:cs="Times New Roman"/>
          <w:sz w:val="28"/>
          <w:szCs w:val="28"/>
        </w:rPr>
        <w:t>родитель  находится под следствием. На всех опекаемых (подопечных) и приемных детей производилась ежеме</w:t>
      </w:r>
      <w:r>
        <w:rPr>
          <w:rFonts w:ascii="Times New Roman" w:hAnsi="Times New Roman" w:cs="Times New Roman"/>
          <w:sz w:val="28"/>
          <w:szCs w:val="28"/>
        </w:rPr>
        <w:t>сячная выплата денежных средств.</w:t>
      </w:r>
    </w:p>
    <w:p w:rsidR="00412A77" w:rsidRPr="00B36A85" w:rsidRDefault="00412A77" w:rsidP="004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5">
        <w:rPr>
          <w:rFonts w:ascii="Times New Roman" w:hAnsi="Times New Roman" w:cs="Times New Roman"/>
          <w:sz w:val="28"/>
          <w:szCs w:val="28"/>
        </w:rPr>
        <w:lastRenderedPageBreak/>
        <w:t>На 31.12.20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6A85">
        <w:rPr>
          <w:rFonts w:ascii="Times New Roman" w:hAnsi="Times New Roman" w:cs="Times New Roman"/>
          <w:sz w:val="28"/>
          <w:szCs w:val="28"/>
        </w:rPr>
        <w:t xml:space="preserve"> года в районе проживало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36A85">
        <w:rPr>
          <w:rFonts w:ascii="Times New Roman" w:hAnsi="Times New Roman" w:cs="Times New Roman"/>
          <w:sz w:val="28"/>
          <w:szCs w:val="28"/>
        </w:rPr>
        <w:t xml:space="preserve"> приемных семей: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A85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ях по3</w:t>
      </w:r>
      <w:r w:rsidRPr="00B36A85">
        <w:rPr>
          <w:rFonts w:ascii="Times New Roman" w:hAnsi="Times New Roman" w:cs="Times New Roman"/>
          <w:sz w:val="28"/>
          <w:szCs w:val="28"/>
        </w:rPr>
        <w:t xml:space="preserve"> приемных ребенка,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6A85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A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пятеро</w:t>
      </w:r>
      <w:r w:rsidRPr="00B36A85">
        <w:rPr>
          <w:rFonts w:ascii="Times New Roman" w:hAnsi="Times New Roman" w:cs="Times New Roman"/>
          <w:sz w:val="28"/>
          <w:szCs w:val="28"/>
        </w:rPr>
        <w:t xml:space="preserve"> приемных детей,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A85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 xml:space="preserve">ях –по </w:t>
      </w:r>
      <w:r w:rsidRPr="00B36A85">
        <w:rPr>
          <w:rFonts w:ascii="Times New Roman" w:hAnsi="Times New Roman" w:cs="Times New Roman"/>
          <w:sz w:val="28"/>
          <w:szCs w:val="28"/>
        </w:rPr>
        <w:t>2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36A85">
        <w:rPr>
          <w:rFonts w:ascii="Times New Roman" w:hAnsi="Times New Roman" w:cs="Times New Roman"/>
          <w:sz w:val="28"/>
          <w:szCs w:val="28"/>
        </w:rPr>
        <w:t xml:space="preserve">мных ребенка,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6A85">
        <w:rPr>
          <w:rFonts w:ascii="Times New Roman" w:hAnsi="Times New Roman" w:cs="Times New Roman"/>
          <w:sz w:val="28"/>
          <w:szCs w:val="28"/>
        </w:rPr>
        <w:t xml:space="preserve"> – по 1 ребенку. </w:t>
      </w:r>
    </w:p>
    <w:p w:rsidR="00412A77" w:rsidRPr="00B36A85" w:rsidRDefault="00412A77" w:rsidP="004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5">
        <w:rPr>
          <w:rFonts w:ascii="Times New Roman" w:hAnsi="Times New Roman" w:cs="Times New Roman"/>
          <w:sz w:val="28"/>
          <w:szCs w:val="28"/>
        </w:rPr>
        <w:t>Соблюдалась гарантия прав опекаемых и приемных детей на образование. Все дети из данных семей были организованы: двое – посещали дошкольное учреждение,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6A85">
        <w:rPr>
          <w:rFonts w:ascii="Times New Roman" w:hAnsi="Times New Roman" w:cs="Times New Roman"/>
          <w:sz w:val="28"/>
          <w:szCs w:val="28"/>
        </w:rPr>
        <w:t xml:space="preserve"> несовершеннолетних обуча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071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B36A85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 района,</w:t>
      </w:r>
      <w:r w:rsidR="0040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A85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6A85">
        <w:rPr>
          <w:rFonts w:ascii="Times New Roman" w:hAnsi="Times New Roman" w:cs="Times New Roman"/>
          <w:sz w:val="28"/>
          <w:szCs w:val="28"/>
        </w:rPr>
        <w:t xml:space="preserve"> – в </w:t>
      </w:r>
      <w:r w:rsidR="00407158">
        <w:rPr>
          <w:rFonts w:ascii="Times New Roman" w:hAnsi="Times New Roman" w:cs="Times New Roman"/>
          <w:sz w:val="28"/>
          <w:szCs w:val="28"/>
        </w:rPr>
        <w:t>учреждениях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1 несовершеннолетний окончил девять классов КОГОБУ ШИ ОВЗ, по состоянию здоровья</w:t>
      </w:r>
      <w:r w:rsidR="0040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обучение не стал</w:t>
      </w:r>
      <w:r w:rsidRPr="00B36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A77" w:rsidRPr="00B36A85" w:rsidRDefault="00412A77" w:rsidP="004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A8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6A85">
        <w:rPr>
          <w:rFonts w:ascii="Times New Roman" w:hAnsi="Times New Roman" w:cs="Times New Roman"/>
          <w:sz w:val="28"/>
          <w:szCs w:val="28"/>
        </w:rPr>
        <w:t xml:space="preserve"> году по бесплатным путевкам департамента образования в загородных лагерях отдохнуло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6A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07158">
        <w:rPr>
          <w:rFonts w:ascii="Times New Roman" w:hAnsi="Times New Roman" w:cs="Times New Roman"/>
          <w:sz w:val="28"/>
          <w:szCs w:val="28"/>
        </w:rPr>
        <w:t xml:space="preserve"> </w:t>
      </w:r>
      <w:r w:rsidRPr="00B36A85">
        <w:rPr>
          <w:rFonts w:ascii="Times New Roman" w:hAnsi="Times New Roman" w:cs="Times New Roman"/>
          <w:sz w:val="28"/>
          <w:szCs w:val="28"/>
        </w:rPr>
        <w:t>в 2 лагерях в 1 и 3 смену.</w:t>
      </w:r>
    </w:p>
    <w:p w:rsidR="00412A77" w:rsidRPr="002A1A01" w:rsidRDefault="00412A77" w:rsidP="00412A77">
      <w:pPr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</w:t>
      </w:r>
      <w:r w:rsidR="00407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поступило </w:t>
      </w:r>
      <w:r w:rsidR="00407158">
        <w:rPr>
          <w:rFonts w:ascii="Times New Roman" w:hAnsi="Times New Roman" w:cs="Times New Roman"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включении в Список детей-сирот и детей, </w:t>
      </w:r>
      <w:r w:rsidRPr="003D5C2C">
        <w:rPr>
          <w:rFonts w:ascii="Times New Roman" w:hAnsi="Times New Roman" w:cs="Times New Roman"/>
          <w:sz w:val="28"/>
          <w:szCs w:val="28"/>
        </w:rPr>
        <w:t>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3D5C2C">
        <w:rPr>
          <w:rFonts w:ascii="Times New Roman" w:hAnsi="Times New Roman" w:cs="Times New Roman"/>
          <w:sz w:val="28"/>
          <w:szCs w:val="28"/>
        </w:rPr>
        <w:t xml:space="preserve">, лиц из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D5C2C">
        <w:rPr>
          <w:rFonts w:ascii="Times New Roman" w:hAnsi="Times New Roman" w:cs="Times New Roman"/>
          <w:sz w:val="28"/>
          <w:szCs w:val="28"/>
        </w:rPr>
        <w:t>числа, которые подлежат обеспечению жилыми помещениями</w:t>
      </w:r>
      <w:r w:rsidRPr="00B36A85">
        <w:rPr>
          <w:rFonts w:ascii="Times New Roman" w:hAnsi="Times New Roman" w:cs="Times New Roman"/>
          <w:sz w:val="28"/>
          <w:szCs w:val="28"/>
        </w:rPr>
        <w:t>.</w:t>
      </w:r>
      <w:r w:rsidR="00407158">
        <w:rPr>
          <w:rFonts w:ascii="Times New Roman" w:hAnsi="Times New Roman" w:cs="Times New Roman"/>
          <w:sz w:val="28"/>
          <w:szCs w:val="28"/>
        </w:rPr>
        <w:t xml:space="preserve"> </w:t>
      </w:r>
      <w:r w:rsidRPr="000A0C4F">
        <w:rPr>
          <w:rFonts w:ascii="Times New Roman" w:hAnsi="Times New Roman" w:cs="Times New Roman"/>
          <w:sz w:val="28"/>
          <w:szCs w:val="28"/>
        </w:rPr>
        <w:t>В Списке органа опеки и попечительства  на получение жилого помещения на</w:t>
      </w:r>
      <w:r>
        <w:rPr>
          <w:rFonts w:ascii="Times New Roman" w:hAnsi="Times New Roman" w:cs="Times New Roman"/>
          <w:sz w:val="28"/>
          <w:szCs w:val="28"/>
        </w:rPr>
        <w:t xml:space="preserve"> конец декабря 2022 года</w:t>
      </w:r>
      <w:r w:rsidRPr="000A0C4F">
        <w:rPr>
          <w:rFonts w:ascii="Times New Roman" w:hAnsi="Times New Roman" w:cs="Times New Roman"/>
          <w:sz w:val="28"/>
          <w:szCs w:val="28"/>
        </w:rPr>
        <w:t xml:space="preserve"> учете состояло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C4F">
        <w:rPr>
          <w:rFonts w:ascii="Times New Roman" w:hAnsi="Times New Roman" w:cs="Times New Roman"/>
          <w:sz w:val="28"/>
          <w:szCs w:val="28"/>
        </w:rPr>
        <w:t xml:space="preserve">  человека.</w:t>
      </w: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1C1">
        <w:rPr>
          <w:rFonts w:ascii="Times New Roman" w:hAnsi="Times New Roman" w:cs="Times New Roman"/>
          <w:b/>
          <w:sz w:val="28"/>
          <w:szCs w:val="28"/>
        </w:rPr>
        <w:t>3.  Выводы и заключения.</w:t>
      </w:r>
    </w:p>
    <w:p w:rsidR="00C00224" w:rsidRPr="002A1A01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A01">
        <w:rPr>
          <w:rFonts w:ascii="Times New Roman" w:hAnsi="Times New Roman" w:cs="Times New Roman"/>
          <w:sz w:val="28"/>
          <w:szCs w:val="28"/>
        </w:rPr>
        <w:t>Исходя из изложенного выше, следует сделать вывод о том, что система образования Кикнурского района дееспособна и обеспечивает возложенные на неё обязанности по обучению, воспитанию и развитию обучающихся, реализации законных прав несовершеннолетних и их родителей (лиц, их замещающих) на получение детьми качественного образования.</w:t>
      </w:r>
    </w:p>
    <w:p w:rsidR="00C00224" w:rsidRPr="002A1A01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A01">
        <w:rPr>
          <w:rFonts w:ascii="Times New Roman" w:hAnsi="Times New Roman" w:cs="Times New Roman"/>
          <w:sz w:val="28"/>
          <w:szCs w:val="28"/>
        </w:rPr>
        <w:tab/>
        <w:t>Вместе с тем имеется ряд проблем, мешающих стабильному функционированию и динамическому развитию системы.</w:t>
      </w:r>
    </w:p>
    <w:p w:rsidR="00136FD6" w:rsidRDefault="00C00224" w:rsidP="00136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E19">
        <w:rPr>
          <w:rFonts w:ascii="Times New Roman" w:hAnsi="Times New Roman" w:cs="Times New Roman"/>
          <w:i/>
          <w:sz w:val="28"/>
          <w:szCs w:val="28"/>
        </w:rPr>
        <w:tab/>
      </w:r>
      <w:r w:rsidR="00136FD6">
        <w:rPr>
          <w:rFonts w:ascii="Times New Roman" w:hAnsi="Times New Roman" w:cs="Times New Roman"/>
          <w:sz w:val="28"/>
          <w:szCs w:val="28"/>
        </w:rPr>
        <w:t>Необходимо произвести замену внутренней отделки помещений МКУ ДО ДЮСШ им. А.Ф. Оленёва на огнезащитную (предписание надзорных органов)</w:t>
      </w:r>
      <w:r w:rsidR="002A1A01">
        <w:rPr>
          <w:rFonts w:ascii="Times New Roman" w:hAnsi="Times New Roman" w:cs="Times New Roman"/>
          <w:sz w:val="28"/>
          <w:szCs w:val="28"/>
        </w:rPr>
        <w:t>, установить систему контроля доступа на территорию МКОУ детского сада комбинированного вида «Алёнка» для обеспечения антитеррористической защищенности объекта, заменить окна в МКУ ДО ДДТ и приобрести для данного учреждения дополнительно компютерную технику и обновить учебную мебель. Оставляет желать лучшего и имеющаяся в ОО скорость Интернет.</w:t>
      </w:r>
    </w:p>
    <w:p w:rsidR="002A1A01" w:rsidRPr="00136FD6" w:rsidRDefault="002A1A01" w:rsidP="00136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решения данных проблем следует изыскать средства как муниципального, так и регионального бюджетов, обеспечить проведение работ в оптимальные сроки и с хорошим качеством.</w:t>
      </w:r>
    </w:p>
    <w:p w:rsidR="00C00224" w:rsidRPr="009D5E19" w:rsidRDefault="00C00224" w:rsidP="00C002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0224" w:rsidRDefault="00C00224" w:rsidP="00C00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0224" w:rsidRDefault="00C00224">
      <w:pPr>
        <w:sectPr w:rsidR="00C002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66E" w:rsidRPr="003A02C3" w:rsidRDefault="007A366E" w:rsidP="007A366E">
      <w:pPr>
        <w:suppressAutoHyphens/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P351111"/>
      <w:bookmarkEnd w:id="0"/>
      <w:r w:rsidRPr="00AB1EC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7A366E" w:rsidRPr="00AB1EC3" w:rsidRDefault="007A366E" w:rsidP="007A366E">
      <w:pPr>
        <w:pStyle w:val="ConsPlusTitle"/>
        <w:rPr>
          <w:b w:val="0"/>
        </w:rPr>
      </w:pPr>
    </w:p>
    <w:p w:rsidR="007A366E" w:rsidRPr="00851144" w:rsidRDefault="007A366E" w:rsidP="007A36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44"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системы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51144">
        <w:rPr>
          <w:rFonts w:ascii="Times New Roman" w:hAnsi="Times New Roman" w:cs="Times New Roman"/>
          <w:b/>
          <w:sz w:val="28"/>
          <w:szCs w:val="28"/>
        </w:rPr>
        <w:t>для органов местного самоуправления</w:t>
      </w:r>
    </w:p>
    <w:p w:rsidR="007A366E" w:rsidRPr="00AB1EC3" w:rsidRDefault="007A366E" w:rsidP="007A36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1"/>
        <w:gridCol w:w="2665"/>
      </w:tblGrid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9D1C6B" w:rsidRDefault="007A366E" w:rsidP="007228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9D1C6B" w:rsidRDefault="007A366E" w:rsidP="00722833">
            <w:pPr>
              <w:pStyle w:val="ConsPlusNormal"/>
              <w:jc w:val="both"/>
              <w:rPr>
                <w:b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направления детей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br/>
              <w:t>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ли) получения присмотра и ухода)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7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3 до 7 лет.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A366E" w:rsidRPr="00AB1EC3" w:rsidTr="00722833">
        <w:trPr>
          <w:trHeight w:val="24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присмотру и уходу за детьми;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групп, функционирующих в режиме кратковременного и круглосуточного </w:t>
            </w:r>
            <w:r w:rsidRPr="009873FF">
              <w:rPr>
                <w:rFonts w:ascii="Times New Roman" w:hAnsi="Times New Roman" w:cs="Times New Roman"/>
                <w:sz w:val="28"/>
                <w:szCs w:val="28"/>
              </w:rPr>
              <w:t>пребывания,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по присмотру и уходу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уход за детьми,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7A366E" w:rsidRPr="00AB1EC3" w:rsidTr="00722833">
        <w:trPr>
          <w:trHeight w:val="3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Площадь помещений, используемых непосредственно для нужд дошкольных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организаций,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3C246C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19,76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ограниченными возм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ожностями здоровья и инвалидами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Состояние здоровья лиц, обучающихся по программам дошкольного образования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59,6%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числа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обособленных подразделений (филиалов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образовательную деятельность по образовательным программам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образования, присмотр и уход за детьми: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дошкольные образовательные организации;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584286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t>2. 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</w:t>
            </w:r>
            <w:r w:rsidRPr="00C35153">
              <w:rPr>
                <w:rFonts w:ascii="Times New Roman" w:hAnsi="Times New Roman" w:cs="Times New Roman"/>
                <w:sz w:val="28"/>
                <w:szCs w:val="28"/>
              </w:rPr>
              <w:t>образовании, по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итогам учебного года, предшествующего отчетному.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 по уровням общего образования: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4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9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классы).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классах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(группах) профильного обучения в общей численности обучающихся в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классах по образовательным программам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площадь организаций, реализующих образовательные программы начального общего, основного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общего, среднего общего образования,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квадратный метр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D043C0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2.4.2. </w:t>
            </w:r>
            <w:r w:rsidRPr="00771AA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</w:t>
            </w:r>
            <w:r w:rsidRPr="00063C9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Pr="00771AA8">
              <w:rPr>
                <w:rFonts w:ascii="Times New Roman" w:hAnsi="Times New Roman" w:cs="Times New Roman"/>
                <w:sz w:val="28"/>
                <w:szCs w:val="28"/>
              </w:rPr>
              <w:t>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имеющих доступ к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оммуникационной 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2.4.4. </w:t>
            </w:r>
            <w:r w:rsidRPr="00863B49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в отдельных организациях, осуществляющих образовательную деятельность по адаптированным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формате 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обучения (инклюзии)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из них инвалидов, детей-инвалидов.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адаптированным основным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программам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реализации основных общеобразовательных программ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 основных общеобразовательных программ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средств, поступивших в общеобразовательные организации,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863947" w:rsidRDefault="007A366E" w:rsidP="007228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863947" w:rsidRDefault="007A366E" w:rsidP="007228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4. Сведения о развитии дополнительного образования детей и взрослых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обучающегося по дополнительным общеобразовательным программам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образования, получивших образование по укрупненн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 и направлений подготовки высшего образования «Образование и педагогические науки» и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</w:t>
            </w:r>
            <w:r w:rsidRPr="00AB1EC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реализующих дополнительные 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зовательные программы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Общая площадь всех помещений организаций,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расчете на одного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6F7D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водопровод;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центральное отопление;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пожарную сигнализацию;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дымовые извещатели;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пожарные краны и рукава;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системы видеонаблюдения;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«тревожную кнопку».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имеющих доступ к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оммуникационной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Темп роста числа организаций (филиалов),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расчете на одного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16,6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Удельный вес финансовых средств от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источников финансир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ования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дополнительных общеобразовательных програ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мм: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 федерального бюджета, бюджета субъекта Российской Федерации и местного бюджета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6E" w:rsidRPr="00AB1EC3" w:rsidTr="00722833">
        <w:trPr>
          <w:trHeight w:val="39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1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средства, поступившие от иной приносящей доход деятельности.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деятельность, реализующих дополнительные общеобразовательные программы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имеющих филиалы, в общем числе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дополнительных общеобразовательных программ </w:t>
            </w: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4.8.1. 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6E" w:rsidRPr="00AB1EC3" w:rsidTr="00722833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A366E" w:rsidRPr="00AB1EC3" w:rsidRDefault="007A366E" w:rsidP="00722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6E" w:rsidRPr="00AB1EC3" w:rsidTr="00722833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66E" w:rsidRPr="00AB1EC3" w:rsidRDefault="007A366E" w:rsidP="007228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Учебные и внеучебные достижения лиц, обучающихся по программам дополнительного образования детей </w:t>
            </w:r>
          </w:p>
        </w:tc>
      </w:tr>
    </w:tbl>
    <w:p w:rsidR="007A366E" w:rsidRDefault="007A366E" w:rsidP="007A366E">
      <w:pPr>
        <w:suppressAutoHyphens/>
        <w:spacing w:after="0" w:line="360" w:lineRule="auto"/>
      </w:pPr>
    </w:p>
    <w:p w:rsidR="007A366E" w:rsidRDefault="007A366E" w:rsidP="007A366E">
      <w:pPr>
        <w:suppressAutoHyphens/>
        <w:spacing w:after="0" w:line="360" w:lineRule="auto"/>
        <w:jc w:val="center"/>
      </w:pPr>
      <w:r>
        <w:t>______________</w:t>
      </w:r>
    </w:p>
    <w:p w:rsidR="007A366E" w:rsidRDefault="007A366E" w:rsidP="00C00224">
      <w:pPr>
        <w:suppressAutoHyphens/>
        <w:spacing w:after="0" w:line="360" w:lineRule="auto"/>
        <w:jc w:val="center"/>
      </w:pPr>
    </w:p>
    <w:p w:rsidR="00973A98" w:rsidRDefault="00973A98"/>
    <w:sectPr w:rsidR="00973A98" w:rsidSect="00973A98">
      <w:headerReference w:type="default" r:id="rId6"/>
      <w:headerReference w:type="first" r:id="rId7"/>
      <w:footerReference w:type="first" r:id="rId8"/>
      <w:pgSz w:w="11906" w:h="16838" w:code="9"/>
      <w:pgMar w:top="1134" w:right="567" w:bottom="1134" w:left="1134" w:header="567" w:footer="567" w:gutter="0"/>
      <w:cols w:space="720"/>
      <w:formProt w:val="0"/>
      <w:titlePg/>
      <w:docGrid w:linePitch="326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DD" w:rsidRDefault="004F7EDD" w:rsidP="0040453A">
      <w:pPr>
        <w:spacing w:after="0" w:line="240" w:lineRule="auto"/>
      </w:pPr>
      <w:r>
        <w:separator/>
      </w:r>
    </w:p>
  </w:endnote>
  <w:endnote w:type="continuationSeparator" w:id="1">
    <w:p w:rsidR="004F7EDD" w:rsidRDefault="004F7EDD" w:rsidP="0040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19" w:rsidRDefault="001A7319" w:rsidP="00973A98">
    <w:pPr>
      <w:pStyle w:val="a7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DD" w:rsidRDefault="004F7EDD" w:rsidP="0040453A">
      <w:pPr>
        <w:spacing w:after="0" w:line="240" w:lineRule="auto"/>
      </w:pPr>
      <w:r>
        <w:separator/>
      </w:r>
    </w:p>
  </w:footnote>
  <w:footnote w:type="continuationSeparator" w:id="1">
    <w:p w:rsidR="004F7EDD" w:rsidRDefault="004F7EDD" w:rsidP="0040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689759030"/>
      <w:docPartObj>
        <w:docPartGallery w:val="Page Numbers (Top of Page)"/>
        <w:docPartUnique/>
      </w:docPartObj>
    </w:sdtPr>
    <w:sdtContent>
      <w:p w:rsidR="001A7319" w:rsidRPr="00BA7290" w:rsidRDefault="00D6078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7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7319" w:rsidRPr="00BA7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366E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7319" w:rsidRDefault="001A73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19" w:rsidRDefault="001A7319">
    <w:pPr>
      <w:pStyle w:val="a5"/>
      <w:jc w:val="center"/>
    </w:pPr>
  </w:p>
  <w:p w:rsidR="001A7319" w:rsidRDefault="001A73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224"/>
    <w:rsid w:val="00076AA3"/>
    <w:rsid w:val="0008286D"/>
    <w:rsid w:val="000A69E0"/>
    <w:rsid w:val="000D2B13"/>
    <w:rsid w:val="000E10A6"/>
    <w:rsid w:val="000E6B25"/>
    <w:rsid w:val="00136FD6"/>
    <w:rsid w:val="00140758"/>
    <w:rsid w:val="001419DB"/>
    <w:rsid w:val="001A0DA4"/>
    <w:rsid w:val="001A5C64"/>
    <w:rsid w:val="001A7319"/>
    <w:rsid w:val="001B0D4A"/>
    <w:rsid w:val="002A1A01"/>
    <w:rsid w:val="002E7D88"/>
    <w:rsid w:val="0030295E"/>
    <w:rsid w:val="0038255C"/>
    <w:rsid w:val="00396EDF"/>
    <w:rsid w:val="0040453A"/>
    <w:rsid w:val="00407158"/>
    <w:rsid w:val="00412A77"/>
    <w:rsid w:val="00446D45"/>
    <w:rsid w:val="004651BF"/>
    <w:rsid w:val="00465F89"/>
    <w:rsid w:val="00487BB4"/>
    <w:rsid w:val="004F7EDD"/>
    <w:rsid w:val="00535944"/>
    <w:rsid w:val="005C2DDD"/>
    <w:rsid w:val="005D3D88"/>
    <w:rsid w:val="005D67FC"/>
    <w:rsid w:val="0060081E"/>
    <w:rsid w:val="00654197"/>
    <w:rsid w:val="00676A7E"/>
    <w:rsid w:val="006B063D"/>
    <w:rsid w:val="00742510"/>
    <w:rsid w:val="00751B0A"/>
    <w:rsid w:val="007A366E"/>
    <w:rsid w:val="007B4209"/>
    <w:rsid w:val="008C68A5"/>
    <w:rsid w:val="008F7700"/>
    <w:rsid w:val="00973A98"/>
    <w:rsid w:val="009C5CB4"/>
    <w:rsid w:val="009D43F9"/>
    <w:rsid w:val="009D5E19"/>
    <w:rsid w:val="00A02ED7"/>
    <w:rsid w:val="00A2335D"/>
    <w:rsid w:val="00A50014"/>
    <w:rsid w:val="00A955E3"/>
    <w:rsid w:val="00AE4FCE"/>
    <w:rsid w:val="00B137C5"/>
    <w:rsid w:val="00B150E1"/>
    <w:rsid w:val="00B83836"/>
    <w:rsid w:val="00BE3322"/>
    <w:rsid w:val="00C00224"/>
    <w:rsid w:val="00C37669"/>
    <w:rsid w:val="00C74575"/>
    <w:rsid w:val="00CA325C"/>
    <w:rsid w:val="00CA5898"/>
    <w:rsid w:val="00D6078A"/>
    <w:rsid w:val="00DC313C"/>
    <w:rsid w:val="00DD3A9F"/>
    <w:rsid w:val="00DE1185"/>
    <w:rsid w:val="00DE13AA"/>
    <w:rsid w:val="00E2140C"/>
    <w:rsid w:val="00E36079"/>
    <w:rsid w:val="00E81FAE"/>
    <w:rsid w:val="00EC3405"/>
    <w:rsid w:val="00F116AC"/>
    <w:rsid w:val="00F14A1C"/>
    <w:rsid w:val="00F22D04"/>
    <w:rsid w:val="00FB0D82"/>
    <w:rsid w:val="00FD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224"/>
    <w:pPr>
      <w:spacing w:after="0" w:line="240" w:lineRule="auto"/>
    </w:pPr>
  </w:style>
  <w:style w:type="table" w:styleId="a4">
    <w:name w:val="Table Grid"/>
    <w:basedOn w:val="a1"/>
    <w:uiPriority w:val="59"/>
    <w:rsid w:val="00C00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00224"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C00224"/>
    <w:pPr>
      <w:widowControl w:val="0"/>
      <w:spacing w:after="0" w:line="240" w:lineRule="auto"/>
    </w:pPr>
    <w:rPr>
      <w:rFonts w:eastAsia="Times New Roman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C0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224"/>
  </w:style>
  <w:style w:type="paragraph" w:styleId="a7">
    <w:name w:val="footer"/>
    <w:basedOn w:val="a"/>
    <w:link w:val="a8"/>
    <w:uiPriority w:val="99"/>
    <w:unhideWhenUsed/>
    <w:rsid w:val="00C0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224"/>
  </w:style>
  <w:style w:type="paragraph" w:styleId="a9">
    <w:name w:val="List Paragraph"/>
    <w:basedOn w:val="a"/>
    <w:uiPriority w:val="34"/>
    <w:qFormat/>
    <w:rsid w:val="001419D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D3D8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22</Pages>
  <Words>6487</Words>
  <Characters>36977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GlSpec-UO</dc:creator>
  <cp:keywords/>
  <dc:description/>
  <cp:lastModifiedBy>GlSpec</cp:lastModifiedBy>
  <cp:revision>33</cp:revision>
  <cp:lastPrinted>2023-10-13T07:20:00Z</cp:lastPrinted>
  <dcterms:created xsi:type="dcterms:W3CDTF">2022-10-06T11:21:00Z</dcterms:created>
  <dcterms:modified xsi:type="dcterms:W3CDTF">2023-10-23T13:25:00Z</dcterms:modified>
</cp:coreProperties>
</file>