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32" w:rsidRPr="00B96060" w:rsidRDefault="0006453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МИНИСТЕРСТВО ОХРАНЫ ОКРУЖАЮЩЕЙ СРЕДЫ КИРОВСКОЙ ОБЛАСТИ</w:t>
      </w:r>
    </w:p>
    <w:p w:rsidR="00064532" w:rsidRPr="00B96060" w:rsidRDefault="000645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64532" w:rsidRPr="00B96060" w:rsidRDefault="000645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64532" w:rsidRPr="00B96060" w:rsidRDefault="000645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12 октября 2022 г. N 27</w:t>
      </w:r>
    </w:p>
    <w:p w:rsidR="00064532" w:rsidRPr="00B96060" w:rsidRDefault="000645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96060" w:rsidRDefault="000645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 xml:space="preserve">О МЕТОДИЧЕСКИХ РЕКОМЕНДАЦИЯХ ПО ВОПРОСУ </w:t>
      </w:r>
    </w:p>
    <w:p w:rsidR="00B96060" w:rsidRDefault="000645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ОРГАНИЗАЦИИ РАБОТЫ</w:t>
      </w:r>
      <w:r w:rsidR="00B96060">
        <w:rPr>
          <w:rFonts w:ascii="Times New Roman" w:hAnsi="Times New Roman" w:cs="Times New Roman"/>
          <w:sz w:val="24"/>
          <w:szCs w:val="24"/>
        </w:rPr>
        <w:t xml:space="preserve"> </w:t>
      </w:r>
      <w:r w:rsidRPr="00B96060">
        <w:rPr>
          <w:rFonts w:ascii="Times New Roman" w:hAnsi="Times New Roman" w:cs="Times New Roman"/>
          <w:sz w:val="24"/>
          <w:szCs w:val="24"/>
        </w:rPr>
        <w:t xml:space="preserve">С ОТХОДАМИ, ИСКЛЮЧЕНИЮ </w:t>
      </w:r>
    </w:p>
    <w:p w:rsidR="00064532" w:rsidRPr="00B96060" w:rsidRDefault="000645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ЗАХЛАМЛЕНИЯ КОНТЕЙНЕРНЫХ ПЛОЩАДОК</w:t>
      </w:r>
      <w:r w:rsidR="00B96060">
        <w:rPr>
          <w:rFonts w:ascii="Times New Roman" w:hAnsi="Times New Roman" w:cs="Times New Roman"/>
          <w:sz w:val="24"/>
          <w:szCs w:val="24"/>
        </w:rPr>
        <w:t xml:space="preserve"> </w:t>
      </w:r>
      <w:r w:rsidRPr="00B96060">
        <w:rPr>
          <w:rFonts w:ascii="Times New Roman" w:hAnsi="Times New Roman" w:cs="Times New Roman"/>
          <w:sz w:val="24"/>
          <w:szCs w:val="24"/>
        </w:rPr>
        <w:t>НА ТЕРРИТОРИЯХ МУНИЦИПАЛЬНЫХ РАЙОНОВ, ГОРОДСКИХ</w:t>
      </w:r>
      <w:r w:rsidR="00B96060">
        <w:rPr>
          <w:rFonts w:ascii="Times New Roman" w:hAnsi="Times New Roman" w:cs="Times New Roman"/>
          <w:sz w:val="24"/>
          <w:szCs w:val="24"/>
        </w:rPr>
        <w:t xml:space="preserve"> </w:t>
      </w:r>
      <w:r w:rsidRPr="00B96060">
        <w:rPr>
          <w:rFonts w:ascii="Times New Roman" w:hAnsi="Times New Roman" w:cs="Times New Roman"/>
          <w:sz w:val="24"/>
          <w:szCs w:val="24"/>
        </w:rPr>
        <w:t>И МУНИЦИПАЛЬНЫХ ОКРУГОВ КИРОВСКОЙ ОБЛАСТИ</w:t>
      </w:r>
    </w:p>
    <w:p w:rsidR="00064532" w:rsidRPr="00B96060" w:rsidRDefault="00064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532" w:rsidRPr="00B96060" w:rsidRDefault="00064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 xml:space="preserve">    В  соответствии  с  </w:t>
      </w:r>
      <w:hyperlink r:id="rId4">
        <w:r w:rsidRPr="00B96060">
          <w:rPr>
            <w:rFonts w:ascii="Times New Roman" w:hAnsi="Times New Roman" w:cs="Times New Roman"/>
            <w:color w:val="0000FF"/>
            <w:sz w:val="24"/>
            <w:szCs w:val="24"/>
          </w:rPr>
          <w:t>абзацами 4</w:t>
        </w:r>
      </w:hyperlink>
      <w:r w:rsidRPr="00B96060">
        <w:rPr>
          <w:rFonts w:ascii="Times New Roman" w:hAnsi="Times New Roman" w:cs="Times New Roman"/>
          <w:sz w:val="24"/>
          <w:szCs w:val="24"/>
        </w:rPr>
        <w:t xml:space="preserve">, </w:t>
      </w:r>
      <w:hyperlink r:id="rId5">
        <w:r w:rsidRPr="00B96060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B9606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B96060">
          <w:rPr>
            <w:rFonts w:ascii="Times New Roman" w:hAnsi="Times New Roman" w:cs="Times New Roman"/>
            <w:color w:val="0000FF"/>
            <w:sz w:val="24"/>
            <w:szCs w:val="24"/>
          </w:rPr>
          <w:t>16 статьи 6</w:t>
        </w:r>
      </w:hyperlink>
      <w:r w:rsidRPr="00B9606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B96060">
          <w:rPr>
            <w:rFonts w:ascii="Times New Roman" w:hAnsi="Times New Roman" w:cs="Times New Roman"/>
            <w:color w:val="0000FF"/>
            <w:sz w:val="24"/>
            <w:szCs w:val="24"/>
          </w:rPr>
          <w:t>статьей 13</w:t>
        </w:r>
      </w:hyperlink>
      <w:r w:rsidRPr="00B96060">
        <w:rPr>
          <w:rFonts w:ascii="Times New Roman" w:hAnsi="Times New Roman" w:cs="Times New Roman"/>
          <w:sz w:val="24"/>
          <w:szCs w:val="24"/>
        </w:rPr>
        <w:t xml:space="preserve"> Федерального</w:t>
      </w:r>
    </w:p>
    <w:p w:rsidR="00064532" w:rsidRPr="00B96060" w:rsidRDefault="00064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закона  от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 24.06.1998  N  89-ФЗ  "Об  отходах производства и потребления",</w:t>
      </w:r>
    </w:p>
    <w:p w:rsidR="00064532" w:rsidRPr="00B96060" w:rsidRDefault="00064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 xml:space="preserve">                     1</w:t>
      </w:r>
    </w:p>
    <w:p w:rsidR="00064532" w:rsidRPr="00B96060" w:rsidRDefault="00604A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proofErr w:type="gramStart"/>
        <w:r w:rsidR="00064532" w:rsidRPr="00B96060">
          <w:rPr>
            <w:rFonts w:ascii="Times New Roman" w:hAnsi="Times New Roman" w:cs="Times New Roman"/>
            <w:color w:val="0000FF"/>
            <w:sz w:val="24"/>
            <w:szCs w:val="24"/>
          </w:rPr>
          <w:t>пунктом  7</w:t>
        </w:r>
        <w:proofErr w:type="gramEnd"/>
        <w:r w:rsidR="00064532" w:rsidRPr="00B96060">
          <w:rPr>
            <w:rFonts w:ascii="Times New Roman" w:hAnsi="Times New Roman" w:cs="Times New Roman"/>
            <w:color w:val="0000FF"/>
            <w:sz w:val="24"/>
            <w:szCs w:val="24"/>
          </w:rPr>
          <w:t xml:space="preserve">  статьи  4</w:t>
        </w:r>
      </w:hyperlink>
      <w:r w:rsidR="00064532" w:rsidRPr="00B96060">
        <w:rPr>
          <w:rFonts w:ascii="Times New Roman" w:hAnsi="Times New Roman" w:cs="Times New Roman"/>
          <w:sz w:val="24"/>
          <w:szCs w:val="24"/>
        </w:rPr>
        <w:t xml:space="preserve">   Закона Кировской области от 06.06.2007 N 131-ЗО "Об</w:t>
      </w:r>
    </w:p>
    <w:p w:rsidR="00064532" w:rsidRPr="00B96060" w:rsidRDefault="00064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отходах  производства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 и  потребления  в  Кировской области", </w:t>
      </w:r>
      <w:hyperlink r:id="rId9">
        <w:r w:rsidRPr="00B96060">
          <w:rPr>
            <w:rFonts w:ascii="Times New Roman" w:hAnsi="Times New Roman" w:cs="Times New Roman"/>
            <w:color w:val="0000FF"/>
            <w:sz w:val="24"/>
            <w:szCs w:val="24"/>
          </w:rPr>
          <w:t>пунктами 1.1</w:t>
        </w:r>
      </w:hyperlink>
      <w:r w:rsidRPr="00B96060">
        <w:rPr>
          <w:rFonts w:ascii="Times New Roman" w:hAnsi="Times New Roman" w:cs="Times New Roman"/>
          <w:sz w:val="24"/>
          <w:szCs w:val="24"/>
        </w:rPr>
        <w:t>,</w:t>
      </w:r>
    </w:p>
    <w:p w:rsidR="00064532" w:rsidRPr="00B96060" w:rsidRDefault="00604A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064532" w:rsidRPr="00B96060">
          <w:rPr>
            <w:rFonts w:ascii="Times New Roman" w:hAnsi="Times New Roman" w:cs="Times New Roman"/>
            <w:color w:val="0000FF"/>
            <w:sz w:val="24"/>
            <w:szCs w:val="24"/>
          </w:rPr>
          <w:t>1.10</w:t>
        </w:r>
      </w:hyperlink>
      <w:r w:rsidR="00064532" w:rsidRPr="00B96060">
        <w:rPr>
          <w:rFonts w:ascii="Times New Roman" w:hAnsi="Times New Roman" w:cs="Times New Roman"/>
          <w:sz w:val="24"/>
          <w:szCs w:val="24"/>
        </w:rPr>
        <w:t xml:space="preserve">,   </w:t>
      </w:r>
      <w:hyperlink r:id="rId11">
        <w:r w:rsidR="00064532" w:rsidRPr="00B96060">
          <w:rPr>
            <w:rFonts w:ascii="Times New Roman" w:hAnsi="Times New Roman" w:cs="Times New Roman"/>
            <w:color w:val="0000FF"/>
            <w:sz w:val="24"/>
            <w:szCs w:val="24"/>
          </w:rPr>
          <w:t>3.1.5.14</w:t>
        </w:r>
      </w:hyperlink>
      <w:r w:rsidR="00064532" w:rsidRPr="00B96060">
        <w:rPr>
          <w:rFonts w:ascii="Times New Roman" w:hAnsi="Times New Roman" w:cs="Times New Roman"/>
          <w:sz w:val="24"/>
          <w:szCs w:val="24"/>
        </w:rPr>
        <w:t xml:space="preserve">    Положения   </w:t>
      </w:r>
      <w:proofErr w:type="gramStart"/>
      <w:r w:rsidR="00064532" w:rsidRPr="00B96060">
        <w:rPr>
          <w:rFonts w:ascii="Times New Roman" w:hAnsi="Times New Roman" w:cs="Times New Roman"/>
          <w:sz w:val="24"/>
          <w:szCs w:val="24"/>
        </w:rPr>
        <w:t>о  министерстве</w:t>
      </w:r>
      <w:proofErr w:type="gramEnd"/>
      <w:r w:rsidR="00064532" w:rsidRPr="00B96060">
        <w:rPr>
          <w:rFonts w:ascii="Times New Roman" w:hAnsi="Times New Roman" w:cs="Times New Roman"/>
          <w:sz w:val="24"/>
          <w:szCs w:val="24"/>
        </w:rPr>
        <w:t xml:space="preserve">  охраны  окружающей  среды,</w:t>
      </w:r>
    </w:p>
    <w:p w:rsidR="00064532" w:rsidRPr="00B96060" w:rsidRDefault="00064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утвержденного  постановлением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01.04.2019</w:t>
      </w:r>
    </w:p>
    <w:p w:rsidR="00064532" w:rsidRPr="00B96060" w:rsidRDefault="00064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N  124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>-П  "Об  утверждении Положения о министерстве охраны окружающей среды</w:t>
      </w:r>
    </w:p>
    <w:p w:rsidR="00064532" w:rsidRPr="00B96060" w:rsidRDefault="00064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Кировской области":</w:t>
      </w:r>
    </w:p>
    <w:p w:rsidR="00064532" w:rsidRPr="00B96060" w:rsidRDefault="00064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 xml:space="preserve">1. Утвердить Методические </w:t>
      </w:r>
      <w:hyperlink w:anchor="P39">
        <w:r w:rsidRPr="00B96060">
          <w:rPr>
            <w:rFonts w:ascii="Times New Roman" w:hAnsi="Times New Roman" w:cs="Times New Roman"/>
            <w:color w:val="0000FF"/>
            <w:sz w:val="24"/>
            <w:szCs w:val="24"/>
          </w:rPr>
          <w:t>рекомендации</w:t>
        </w:r>
      </w:hyperlink>
      <w:r w:rsidRPr="00B96060">
        <w:rPr>
          <w:rFonts w:ascii="Times New Roman" w:hAnsi="Times New Roman" w:cs="Times New Roman"/>
          <w:sz w:val="24"/>
          <w:szCs w:val="24"/>
        </w:rPr>
        <w:t xml:space="preserve"> по вопросу организации работы с отходами, исключению захламления контейнерных площадок на территориях муниципальных районов, городских и муниципальных округов Кировской области согласно приложению.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через десять дней после его официального опубликования.</w:t>
      </w:r>
    </w:p>
    <w:p w:rsidR="00064532" w:rsidRPr="00B96060" w:rsidRDefault="00064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532" w:rsidRPr="00B96060" w:rsidRDefault="00064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9606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96060">
        <w:rPr>
          <w:rFonts w:ascii="Times New Roman" w:hAnsi="Times New Roman" w:cs="Times New Roman"/>
          <w:sz w:val="24"/>
          <w:szCs w:val="24"/>
        </w:rPr>
        <w:t>. министра охраны окружающей среды</w:t>
      </w:r>
    </w:p>
    <w:p w:rsidR="00064532" w:rsidRPr="00B96060" w:rsidRDefault="00064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064532" w:rsidRPr="00B96060" w:rsidRDefault="00064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А.В.АЛБЕГОВА</w:t>
      </w:r>
    </w:p>
    <w:p w:rsidR="00064532" w:rsidRPr="00B96060" w:rsidRDefault="00064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532" w:rsidRPr="00B96060" w:rsidRDefault="00064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532" w:rsidRPr="00B96060" w:rsidRDefault="00064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532" w:rsidRPr="00B96060" w:rsidRDefault="00064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532" w:rsidRPr="00B96060" w:rsidRDefault="00064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532" w:rsidRPr="00B96060" w:rsidRDefault="000645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6060">
        <w:rPr>
          <w:rFonts w:ascii="Times New Roman" w:hAnsi="Times New Roman" w:cs="Times New Roman"/>
          <w:sz w:val="24"/>
          <w:szCs w:val="24"/>
        </w:rPr>
        <w:t>Приложение</w:t>
      </w:r>
    </w:p>
    <w:p w:rsidR="00064532" w:rsidRPr="00B96060" w:rsidRDefault="00064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532" w:rsidRPr="00B96060" w:rsidRDefault="00064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Утверждены</w:t>
      </w:r>
    </w:p>
    <w:p w:rsidR="00064532" w:rsidRPr="00B96060" w:rsidRDefault="00064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распоряжением</w:t>
      </w:r>
      <w:proofErr w:type="gramEnd"/>
    </w:p>
    <w:p w:rsidR="00064532" w:rsidRPr="00B96060" w:rsidRDefault="00064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министерства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охраны окружающей среды</w:t>
      </w:r>
    </w:p>
    <w:p w:rsidR="00064532" w:rsidRPr="00B96060" w:rsidRDefault="00064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064532" w:rsidRPr="00B96060" w:rsidRDefault="00064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12 октября 2022 г. N 27</w:t>
      </w:r>
    </w:p>
    <w:p w:rsidR="00064532" w:rsidRPr="00B96060" w:rsidRDefault="00064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532" w:rsidRPr="00B96060" w:rsidRDefault="000645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B96060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064532" w:rsidRPr="00B96060" w:rsidRDefault="000645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ПО ВОПРОСУ ОРГАНИЗАЦИИ РАБОТЫ С ОТХОДАМИ, ИСКЛЮЧЕНИЮ</w:t>
      </w:r>
    </w:p>
    <w:p w:rsidR="00064532" w:rsidRPr="00B96060" w:rsidRDefault="000645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ЗАХЛАМЛЕНИЯ КОНТЕЙНЕРНЫХ ПЛОЩАДОК НА ТЕРРИТОРИЯХ</w:t>
      </w:r>
    </w:p>
    <w:p w:rsidR="00064532" w:rsidRPr="00B96060" w:rsidRDefault="000645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МУНИЦИПАЛЬНЫХ РАЙОНОВ, ГОРОДСКИХ И МУНИЦИПАЛЬНЫХ ОКРУГОВ</w:t>
      </w:r>
    </w:p>
    <w:p w:rsidR="00064532" w:rsidRPr="00B96060" w:rsidRDefault="000645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064532" w:rsidRPr="00B96060" w:rsidRDefault="00064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532" w:rsidRPr="00B96060" w:rsidRDefault="00064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 xml:space="preserve">Настоящие Методические рекомендации подготовлены в целях оказания содействия </w:t>
      </w:r>
      <w:r w:rsidRPr="00B96060">
        <w:rPr>
          <w:rFonts w:ascii="Times New Roman" w:hAnsi="Times New Roman" w:cs="Times New Roman"/>
          <w:sz w:val="24"/>
          <w:szCs w:val="24"/>
        </w:rPr>
        <w:lastRenderedPageBreak/>
        <w:t>органам местного самоуправления в организации работы с отходами в местах накопления твердых коммунальных отходов (далее - ТКО), создание и содержание которых отнесено к полномочиям органов местного самоуправления (далее - муниципальные контейнерные площадки, места (площадки) накопления ТКО). Методические рекомендации направлены на выработку в Кировской области консолидированной позиции, исключающей захламление муниципальных контейнерных площадок на территориях муниципальных районов, городских и муниципальных округов Кировской области.</w:t>
      </w:r>
    </w:p>
    <w:p w:rsidR="00064532" w:rsidRPr="00B96060" w:rsidRDefault="00064532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1.1. Методические рекомендации устанавливают рекомендуемый к применению порядок организации деятельности по удалению отходов производства и потребления с контейнерных площадок на территории муниципального образования (населенного пункта), а также порядок проведения работ, направленных на недопущение складирования отдельных отходов в контейнеры для ТКО или на площадки, предназначенные для накопления ТКО.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1.2. Отношения в области обращения с радиоактивными отходами, с биологическими отходами, с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свойства), не относятся к предмету настоящих Методических рекомендаций и регулируются соответствующим законодательством Российской Федерации.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 xml:space="preserve">1.3. В Методических рекомендациях используются определения, термины и понятия, определенные Жилищным </w:t>
      </w:r>
      <w:hyperlink r:id="rId12">
        <w:r w:rsidRPr="00B9606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9606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">
        <w:r w:rsidRPr="00B9606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96060">
        <w:rPr>
          <w:rFonts w:ascii="Times New Roman" w:hAnsi="Times New Roman" w:cs="Times New Roman"/>
          <w:sz w:val="24"/>
          <w:szCs w:val="24"/>
        </w:rPr>
        <w:t xml:space="preserve"> от 24.06.1998 N 89-ФЗ "Об отходах производства и потребления", </w:t>
      </w:r>
      <w:hyperlink r:id="rId14">
        <w:r w:rsidRPr="00B9606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B96060">
        <w:rPr>
          <w:rFonts w:ascii="Times New Roman" w:hAnsi="Times New Roman" w:cs="Times New Roman"/>
          <w:sz w:val="24"/>
          <w:szCs w:val="24"/>
        </w:rPr>
        <w:t xml:space="preserve"> обращения с твердыми коммунальными отходами, утвержденными постановлением Правительства Российской Федерации от 12.11.2016 N 1156.</w:t>
      </w:r>
    </w:p>
    <w:p w:rsidR="00064532" w:rsidRPr="00B96060" w:rsidRDefault="00064532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2. Виды отходов, накопление которых осуществляется в местах накопления ТКО: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твердые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коммунальные отходы (ТКО), в том числе отходы, образующиеся при уборке придомовой территории (уличный смет);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крупногабаритные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отходы жилого фонда (КГО), в том числе: мебель, бытовая техника, отходы от текущего ремонта жилых помещений (замены дверей, окон и т.д.);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ТКО от текущего ремонта жилых помещений (строительно-отделочные отходы внутреннего ремонта жилых помещений), размеры которых позволяют складировать их в контейнеры ТКО;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КГО от текущего ремонта жилых помещений (негабаритные отходы от внутреннего ремонта жилых помещений, ремонта балконов, лоджий, замены окон, полов и др.), размеры которых не позволяют складировать такие отходы в контейнеры ТКО;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ТКО, образованные на территории частных домохозяйств (уличный смет, растительные остатки, отходы от ремонта автомобилей (за исключением горючих жидкостей и деталей, загрязненных горюче-смазочными материалами), отходы от ремонта придомовых помещений и иные отходы, образованные на территории частных домохозяйств), размеры которых позволяют складировать их в контейнеры ТКО;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 xml:space="preserve">КГО, образованные на территории частных домохозяйств (обрезки ветвей деревьев, отходы от текущего (некапитального) ремонта приусадебных строений и другие </w:t>
      </w:r>
      <w:r w:rsidRPr="00B96060">
        <w:rPr>
          <w:rFonts w:ascii="Times New Roman" w:hAnsi="Times New Roman" w:cs="Times New Roman"/>
          <w:sz w:val="24"/>
          <w:szCs w:val="24"/>
        </w:rPr>
        <w:lastRenderedPageBreak/>
        <w:t>негабаритные отходы, образованные внутри частных домохозяйств, размеры которых не позволяют складировать их в контейнеры ТКО;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ТКО и КГО юридических лиц, индивидуальных предпринимателей;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иные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виды отходов, накопление которых в местах накопления ТКО не запрещено действующим законодательством.</w:t>
      </w:r>
    </w:p>
    <w:p w:rsidR="00064532" w:rsidRPr="00B96060" w:rsidRDefault="00064532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3. Виды отходов, накопление которых не допускается в местах накопления ТКО: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растительные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отходы (ветки, кряжи, спиленные деревья), образующиеся при валке, выкорчевке, пересадке зеленых насаждений, проведении санитарной и омолаживающей обрезки на территории мест общего пользования населенного пункта (зеленые насаждения вдоль дорог, в парках, в скверах);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строительные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отходы;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отходы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от капитального ремонта жилых домов, зданий, строений, сооружений (остатки бетонных перекрытий, стеновые блоки, балки, остатки фундамента, застывший раствор, бой кирпича и отделочных материалов, куски металла, отходы систем инженерно-технического обеспечения (отходы систем водоснабжения, канализации, отопления, вентиляции, кондиционирования воздуха, газоснабжения, вертикального транспорта (лифты, эскалаторы));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отходы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от сноса, разборки аварийного и ветхого жилья;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отходы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шин;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жидкие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бытовые отходы;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биологические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и медицинские отходы;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отходы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взрывоопасных веществ;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отходы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отработанных элементов питания (батареи и аккумуляторы);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горящие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>, раскаленные и горячие отходы;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производственные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отходы (остатки производства, не подлежащие к использованию, виды материалов, веществ, образующихся вследствие производственного процесса, разработки технологий изготовления той или иной продукции);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отходы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>, которые могут причинить вред жизни и здоровью человека, повредить или нетипичным образом загрязнить контейнеры, мусоровозы или нарушить режим работы объектов по обработке, утилизации, обезвреживанию и размещению ТКО;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60">
        <w:rPr>
          <w:rFonts w:ascii="Times New Roman" w:hAnsi="Times New Roman" w:cs="Times New Roman"/>
          <w:sz w:val="24"/>
          <w:szCs w:val="24"/>
        </w:rPr>
        <w:t>иные</w:t>
      </w:r>
      <w:proofErr w:type="gramEnd"/>
      <w:r w:rsidRPr="00B96060">
        <w:rPr>
          <w:rFonts w:ascii="Times New Roman" w:hAnsi="Times New Roman" w:cs="Times New Roman"/>
          <w:sz w:val="24"/>
          <w:szCs w:val="24"/>
        </w:rPr>
        <w:t xml:space="preserve"> виды отходов, накопление которых в местах накопления ТКО действующим законодательством не допускается.</w:t>
      </w:r>
    </w:p>
    <w:p w:rsidR="00064532" w:rsidRPr="00B96060" w:rsidRDefault="00064532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4. Рекомендуемые требования к накоплению отходов производства и потребления на территории населенных пунктов.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4.1. Рекомендуемые требования к накоплению ТКО.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4.1.1. Накопление ТКО осуществляется на контейнерных площадках, обустроенных в соответствии с требованиями законодательства.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lastRenderedPageBreak/>
        <w:t>4.1.2. Накопление ТКО осуществляется в контейнеры, бункеры, расположенные на контейнерных площадках. Контейнеры, бункеры служат как мусоросборники и являются неотъемлемой частью контейнерной площадки.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4.1.3. В контейнеры, расположенные на контейнерных площадках, допускается складирование только отходов, относящихся к ТКО.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4.1.4. Складирование ТКО помимо контейнеров не допускается. В случае образования ТКО размером, не позволяющим произвести их складирование в контейнер для ТКО, такие ТКО в местах их образования подлежат предварительной подготовке, включая измельчение до размеров, позволяющих произвести их складирование в контейнере.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4.1.5. Накопление КГО осуществляется на контейнерных площадках или специально оборудованных площадках для накопления КГО (в бункеры-мусоросборники).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4.1.6. Эксплуатация контейнеров с переполнением запрещается. При возникновении случаев переполнения необходимо увеличить количество установленных контейнеров. Органы местного самоуправления, региональный оператор по обращению с твердыми коммунальными отходами и иные лица в соответствии с действующим законодательством обеспечивают наличие в месте накопления ТКО контейнеров для ТКО в количестве, позволяющем не допускать захламления места накопления ТКО.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4.1.7. Допускается складировать КГО (обрезки сучьев и ветвей деревьев, отходы от некапитального ремонта приусадебных строений и другие габаритные отходы, образованные внутри частных домохозяйств) в контейнер для ТКО только при условии их предварительного измельчения до размеров, позволяющих их складировать в контейнер. Складирование КГО (предметов мебели, крупной оргтехники и санитарно-технических изделий, дверей, оконных рам и блоков, крупных остатков от текущего ремонта помещений) в контейнер для накопления ТКО не допускается.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4.2. Рекомендуемые требования к накоплению отходов, не отнесенных к ТКО.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4.2.1. Отходы, не отнесенные к ТКО (КГО), должны накапливаться в специально отведенных местах, оборудованных в соответствии с требованиями законодательства.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4.2.2. Накопление отходов, не отнесенных к ТКО (КГО), осуществляется на территории собственников отходов.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4.2.3. В случаях складирования растительных отходов, не отнесенных к ТКО, вблизи муниципальных мест накопления ТКО (КГО) их уборку обеспечивают органы местного самоуправления в случае, если не установлены иные лица, образовавшие отходы.</w:t>
      </w:r>
    </w:p>
    <w:p w:rsidR="00064532" w:rsidRPr="00B96060" w:rsidRDefault="00064532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5. Рекомендуемые требования к содержанию контейнерных площадок на территории населенных пунктов.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5.1. Полномочиями по созданию и содержанию контейнерных площадок наделены органы местного самоуправления городских поселений, муниципальных районов, городских округов,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5.2. Управляющие организации, ТСЖ, собственники помещений в многоквартирных домах несут ответственность за содержание и уборку прилегающей к контейнерной площадке территории.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 xml:space="preserve">5.3. В целях исключения захламления муниципальных контейнерных площадок </w:t>
      </w:r>
      <w:r w:rsidRPr="00B96060">
        <w:rPr>
          <w:rFonts w:ascii="Times New Roman" w:hAnsi="Times New Roman" w:cs="Times New Roman"/>
          <w:sz w:val="24"/>
          <w:szCs w:val="24"/>
        </w:rPr>
        <w:lastRenderedPageBreak/>
        <w:t>рекомендуется органам местного самоуправления заключить договор на оказание услуг по содержанию и уборке таких площадок.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5.4. При заключении договора на оказание услуг по содержанию и уборке контейнерных площадок рекомендуется синхронизировать работы по уборке таких площадок с графиком вывоза отходов. Региональному оператору следует своевременно информировать органы местного самоуправления об изменениях в графике вывоза ТКО.</w:t>
      </w:r>
    </w:p>
    <w:p w:rsidR="00064532" w:rsidRPr="00B96060" w:rsidRDefault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>5.5. В перечень работ по содержанию контейнерных площадок целесообразно включать: санитарную очистку, в том числе подбор (уборку) ТКО, находящихся на контейнерной площадке или рядом с площадкой (например, когда потребитель не обеспечил складирование ТКО в контейнер); измельчение КГО (обрезки сучьев и ветвей деревьев, отходы от некапитального ремонта приусадебных строений, образованных внутри частных домохозяйств) в целях их складирования в контейнер для ТКО; подметание мусора вокруг контейнеров; очистку контейнерной площадки от всех находящихся на ней отходов; уборку территории от находящихся на ней отходов по периметру контейнерной площадки на расстоянии не менее 3 м.</w:t>
      </w:r>
    </w:p>
    <w:p w:rsidR="00064532" w:rsidRPr="00B96060" w:rsidRDefault="00064532" w:rsidP="0006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60">
        <w:rPr>
          <w:rFonts w:ascii="Times New Roman" w:hAnsi="Times New Roman" w:cs="Times New Roman"/>
          <w:sz w:val="24"/>
          <w:szCs w:val="24"/>
        </w:rPr>
        <w:t xml:space="preserve">5.6. В целях контроля за содержанием контейнерных площадок рекомендуется </w:t>
      </w:r>
      <w:proofErr w:type="spellStart"/>
      <w:r w:rsidRPr="00B96060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B96060">
        <w:rPr>
          <w:rFonts w:ascii="Times New Roman" w:hAnsi="Times New Roman" w:cs="Times New Roman"/>
          <w:sz w:val="24"/>
          <w:szCs w:val="24"/>
        </w:rPr>
        <w:t xml:space="preserve"> работ до и после окончания очистки площадок. Она должна захватывать всю территорию вокруг контейнерной площадки, указанной в договоре на оказание услуг по содержанию и уборке контейнерной площадки.</w:t>
      </w:r>
    </w:p>
    <w:p w:rsidR="00542B6E" w:rsidRPr="00B96060" w:rsidRDefault="00542B6E">
      <w:pPr>
        <w:rPr>
          <w:rFonts w:ascii="Times New Roman" w:hAnsi="Times New Roman" w:cs="Times New Roman"/>
          <w:sz w:val="24"/>
          <w:szCs w:val="24"/>
        </w:rPr>
      </w:pPr>
    </w:p>
    <w:sectPr w:rsidR="00542B6E" w:rsidRPr="00B96060" w:rsidSect="0017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32"/>
    <w:rsid w:val="00064532"/>
    <w:rsid w:val="00542B6E"/>
    <w:rsid w:val="00604A0D"/>
    <w:rsid w:val="00B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C56CE-1B2B-45CD-9E89-2CF0C4C3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45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4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45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E00DD1C0772374ED8BB4801C940EAAA496219A85FD284AA5CB5432072D2C7A2A83989468F09B76280ECE42DE1330DAD6908DC0B1FA7539E5CA8DAUCa0L" TargetMode="External"/><Relationship Id="rId13" Type="http://schemas.openxmlformats.org/officeDocument/2006/relationships/hyperlink" Target="consultantplus://offline/ref=361E00DD1C0772374ED8A54517A51CE3AE473D13AE51D9D2F10EB3147F22D492F0E867D004CB1AB7629EEFE328UEa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1E00DD1C0772374ED8A54517A51CE3AE473D13AE51D9D2F10EB3147F22D492E2E83FDC03C050E726D5E0E22AF4665CF73E05DFU0a8L" TargetMode="External"/><Relationship Id="rId12" Type="http://schemas.openxmlformats.org/officeDocument/2006/relationships/hyperlink" Target="consultantplus://offline/ref=361E00DD1C0772374ED8A54517A51CE3AE463E10AD55D9D2F10EB3147F22D492F0E867D004CB1AB7629EEFE328UEa9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E00DD1C0772374ED8A54517A51CE3AE473D13AE51D9D2F10EB3147F22D492E2E83FD804C20FE233C4B8EE2BEA795DE92207DD09U0a2L" TargetMode="External"/><Relationship Id="rId11" Type="http://schemas.openxmlformats.org/officeDocument/2006/relationships/hyperlink" Target="consultantplus://offline/ref=361E00DD1C0772374ED8BB4801C940EAAA496219A85ED68DAE5EB5432072D2C7A2A83989468F09B76280E9E422E1330DAD6908DC0B1FA7539E5CA8DAUCa0L" TargetMode="External"/><Relationship Id="rId5" Type="http://schemas.openxmlformats.org/officeDocument/2006/relationships/hyperlink" Target="consultantplus://offline/ref=361E00DD1C0772374ED8A54517A51CE3AE473D13AE51D9D2F10EB3147F22D492E2E83FDE04CA0FE233C4B8EE2BEA795DE92207DD09U0a2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61E00DD1C0772374ED8BB4801C940EAAA496219A85ED68DAE5EB5432072D2C7A2A83989468F09B76280EDE122E1330DAD6908DC0B1FA7539E5CA8DAUCa0L" TargetMode="External"/><Relationship Id="rId4" Type="http://schemas.openxmlformats.org/officeDocument/2006/relationships/hyperlink" Target="consultantplus://offline/ref=361E00DD1C0772374ED8A54517A51CE3AE473D13AE51D9D2F10EB3147F22D492E2E83FDE04CB0FE233C4B8EE2BEA795DE92207DD09U0a2L" TargetMode="External"/><Relationship Id="rId9" Type="http://schemas.openxmlformats.org/officeDocument/2006/relationships/hyperlink" Target="consultantplus://offline/ref=361E00DD1C0772374ED8BB4801C940EAAA496219A85ED68DAE5EB5432072D2C7A2A83989468F09B76280E9E72FE1330DAD6908DC0B1FA7539E5CA8DAUCa0L" TargetMode="External"/><Relationship Id="rId14" Type="http://schemas.openxmlformats.org/officeDocument/2006/relationships/hyperlink" Target="consultantplus://offline/ref=361E00DD1C0772374ED8A54517A51CE3A94A3C16A154D9D2F10EB3147F22D492E2E83FDC05CB04B7628BB9B26EBF6A5DE92204DD1503A651U8a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2023-10-10T11:26:00Z</dcterms:created>
  <dcterms:modified xsi:type="dcterms:W3CDTF">2023-10-10T11:39:00Z</dcterms:modified>
</cp:coreProperties>
</file>